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89" w:rsidRDefault="00624A89">
      <w:pPr>
        <w:jc w:val="center"/>
        <w:rPr>
          <w:rFonts w:ascii="Arial" w:hAnsi="Arial"/>
          <w:b/>
          <w:color w:val="1F4E79"/>
          <w:sz w:val="32"/>
        </w:rPr>
      </w:pPr>
    </w:p>
    <w:p w:rsidR="009A0987" w:rsidRDefault="005345D3">
      <w:pPr>
        <w:jc w:val="center"/>
      </w:pPr>
      <w:r>
        <w:rPr>
          <w:rFonts w:ascii="Arial" w:hAnsi="Arial"/>
          <w:b/>
          <w:color w:val="1F4E79"/>
          <w:sz w:val="32"/>
        </w:rPr>
        <w:t>ISO 14001 ENVIRONMENTAL POLICY TEMPLATE</w:t>
      </w:r>
    </w:p>
    <w:p w:rsidR="00624A89" w:rsidRDefault="00624A89">
      <w:pPr>
        <w:spacing w:after="80"/>
        <w:rPr>
          <w:rFonts w:ascii="Cambria" w:hAnsi="Cambria"/>
          <w:b/>
          <w:color w:val="1F4E79"/>
          <w:sz w:val="24"/>
        </w:rPr>
      </w:pPr>
    </w:p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>1. PURPOSE AND COMMITMENT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t xml:space="preserve">This template defines the organization’s formal commitment to environmental protection, pollution prevention, compliance obligations, resource efficiency, climate resilience, and continual </w:t>
      </w:r>
      <w:r>
        <w:rPr>
          <w:rFonts w:ascii="Cambria" w:hAnsi="Cambria"/>
          <w:color w:val="1F4E79"/>
          <w:sz w:val="24"/>
        </w:rPr>
        <w:t>improvement of the Environmental Management System (EMS). It is intended for large manufacturing and trading enterprises operating multiple sites, warehouses, offices, and logistics networks.</w:t>
      </w:r>
    </w:p>
    <w:p w:rsidR="009A0987" w:rsidRDefault="005345D3">
      <w:pPr>
        <w:spacing w:after="80"/>
      </w:pPr>
      <w:r>
        <w:rPr>
          <w:rFonts w:ascii="Cambria" w:hAnsi="Cambria"/>
          <w:i/>
          <w:color w:val="C00000"/>
          <w:sz w:val="24"/>
        </w:rPr>
        <w:t>[Note] Consultant should verify alignment between the policy wor</w:t>
      </w:r>
      <w:r>
        <w:rPr>
          <w:rFonts w:ascii="Cambria" w:hAnsi="Cambria"/>
          <w:i/>
          <w:color w:val="C00000"/>
          <w:sz w:val="24"/>
        </w:rPr>
        <w:t>ding, actual site controls, budgets, objectives, and evidence of leadership commitment before certification audit.</w:t>
      </w:r>
    </w:p>
    <w:p w:rsidR="00624A89" w:rsidRDefault="00624A89">
      <w:pPr>
        <w:spacing w:after="80"/>
        <w:rPr>
          <w:rFonts w:ascii="Cambria" w:hAnsi="Cambria"/>
          <w:b/>
          <w:color w:val="1F4E79"/>
          <w:sz w:val="24"/>
        </w:rPr>
      </w:pPr>
    </w:p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>2. POLICY STATEMENT TEMPLATE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t>[Company Name] is committed to conducting all activities in an environmentally responsible manner. We shall inte</w:t>
      </w:r>
      <w:r>
        <w:rPr>
          <w:rFonts w:ascii="Cambria" w:hAnsi="Cambria"/>
          <w:color w:val="1F4E79"/>
          <w:sz w:val="24"/>
        </w:rPr>
        <w:t>grate environmental considerations into strategic planning, product lifecycle decisions, sourcing, production, warehousing, transportation, sales, and support functions.</w:t>
      </w:r>
    </w:p>
    <w:p w:rsidR="009A0987" w:rsidRDefault="005345D3">
      <w:pPr>
        <w:spacing w:after="80"/>
      </w:pPr>
      <w:r>
        <w:rPr>
          <w:rFonts w:ascii="Cambria" w:hAnsi="Cambria"/>
          <w:i/>
          <w:color w:val="C00000"/>
          <w:sz w:val="24"/>
        </w:rPr>
        <w:t>[Note] Consultant should verify alignment between the policy wording, actual site cont</w:t>
      </w:r>
      <w:r>
        <w:rPr>
          <w:rFonts w:ascii="Cambria" w:hAnsi="Cambria"/>
          <w:i/>
          <w:color w:val="C00000"/>
          <w:sz w:val="24"/>
        </w:rPr>
        <w:t>rols, budgets, objectives, and evidence of leadership commitment before certification audit.</w:t>
      </w:r>
    </w:p>
    <w:p w:rsidR="00624A89" w:rsidRDefault="00624A89">
      <w:pPr>
        <w:spacing w:after="80"/>
        <w:rPr>
          <w:rFonts w:ascii="Cambria" w:hAnsi="Cambria"/>
          <w:b/>
          <w:color w:val="1F4E79"/>
          <w:sz w:val="24"/>
        </w:rPr>
      </w:pPr>
    </w:p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>3. CORE COMMITMENTS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t>The policy shall include measurable commitments covering legal compliance, prevention of pollution, reduction of waste, efficient use of energy</w:t>
      </w:r>
      <w:r>
        <w:rPr>
          <w:rFonts w:ascii="Cambria" w:hAnsi="Cambria"/>
          <w:color w:val="1F4E79"/>
          <w:sz w:val="24"/>
        </w:rPr>
        <w:t xml:space="preserve"> and water, protection of biodiversity where relevant, responsible chemicals management, emergency preparedness, sustainable procurement, and continual improvement.</w:t>
      </w:r>
    </w:p>
    <w:p w:rsidR="009A0987" w:rsidRDefault="005345D3">
      <w:pPr>
        <w:spacing w:after="80"/>
      </w:pPr>
      <w:r>
        <w:rPr>
          <w:rFonts w:ascii="Cambria" w:hAnsi="Cambria"/>
          <w:i/>
          <w:color w:val="C00000"/>
          <w:sz w:val="24"/>
        </w:rPr>
        <w:t>[Note] Consultant should verify alignment between the policy wording, actual site controls,</w:t>
      </w:r>
      <w:r>
        <w:rPr>
          <w:rFonts w:ascii="Cambria" w:hAnsi="Cambria"/>
          <w:i/>
          <w:color w:val="C00000"/>
          <w:sz w:val="24"/>
        </w:rPr>
        <w:t xml:space="preserve"> budgets, objectives, and evidence of leadership commitment before certification audit.</w:t>
      </w:r>
    </w:p>
    <w:p w:rsidR="00624A89" w:rsidRDefault="00624A89">
      <w:pPr>
        <w:spacing w:after="80"/>
        <w:rPr>
          <w:rFonts w:ascii="Cambria" w:hAnsi="Cambria"/>
          <w:b/>
          <w:color w:val="1F4E79"/>
          <w:sz w:val="24"/>
        </w:rPr>
      </w:pPr>
    </w:p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>4. ROLES AND ACCOUNTABILITIES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t>Top management approves the policy and ensures resources. The EMS Steering Committee reviews performance. Site leaders implement local con</w:t>
      </w:r>
      <w:r>
        <w:rPr>
          <w:rFonts w:ascii="Cambria" w:hAnsi="Cambria"/>
          <w:color w:val="1F4E79"/>
          <w:sz w:val="24"/>
        </w:rPr>
        <w:t>trols. Functional heads deploy objectives. All employees and contractors shall comply with policy requirements.</w:t>
      </w:r>
    </w:p>
    <w:p w:rsidR="009A0987" w:rsidRDefault="005345D3">
      <w:pPr>
        <w:spacing w:after="80"/>
      </w:pPr>
      <w:r>
        <w:rPr>
          <w:rFonts w:ascii="Cambria" w:hAnsi="Cambria"/>
          <w:i/>
          <w:color w:val="C00000"/>
          <w:sz w:val="24"/>
        </w:rPr>
        <w:t>[Note] Consultant should verify alignment between the policy wording, actual site controls, budgets, objectives, and evidence of leadership comm</w:t>
      </w:r>
      <w:r>
        <w:rPr>
          <w:rFonts w:ascii="Cambria" w:hAnsi="Cambria"/>
          <w:i/>
          <w:color w:val="C00000"/>
          <w:sz w:val="24"/>
        </w:rPr>
        <w:t>itment before certification audit.</w:t>
      </w:r>
    </w:p>
    <w:p w:rsidR="00624A89" w:rsidRDefault="00624A89">
      <w:pPr>
        <w:spacing w:after="80"/>
        <w:rPr>
          <w:rFonts w:ascii="Cambria" w:hAnsi="Cambria"/>
          <w:b/>
          <w:color w:val="1F4E79"/>
          <w:sz w:val="24"/>
        </w:rPr>
      </w:pPr>
    </w:p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>5. COMMUNICATION AND DEPLOYMENT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lastRenderedPageBreak/>
        <w:t>The policy shall be communicated internally, available to interested parties, displayed at sites, incorporated into induction training, and reviewed with suppliers and contractors where mat</w:t>
      </w:r>
      <w:r>
        <w:rPr>
          <w:rFonts w:ascii="Cambria" w:hAnsi="Cambria"/>
          <w:color w:val="1F4E79"/>
          <w:sz w:val="24"/>
        </w:rPr>
        <w:t>erial environmental aspects exist.</w:t>
      </w:r>
    </w:p>
    <w:p w:rsidR="009A0987" w:rsidRDefault="005345D3">
      <w:pPr>
        <w:spacing w:after="80"/>
      </w:pPr>
      <w:r>
        <w:rPr>
          <w:rFonts w:ascii="Cambria" w:hAnsi="Cambria"/>
          <w:i/>
          <w:color w:val="C00000"/>
          <w:sz w:val="24"/>
        </w:rPr>
        <w:t>[Note] Consultant should verify alignment between the policy wording, actual site controls, budgets, objectives, and evidence of leadership commitment before certification audit.</w:t>
      </w:r>
    </w:p>
    <w:p w:rsidR="00624A89" w:rsidRDefault="00624A89">
      <w:pPr>
        <w:spacing w:after="80"/>
        <w:rPr>
          <w:rFonts w:ascii="Cambria" w:hAnsi="Cambria"/>
          <w:b/>
          <w:color w:val="1F4E79"/>
          <w:sz w:val="24"/>
        </w:rPr>
      </w:pPr>
    </w:p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>6. REVIEW AND REVISION CONTROL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t xml:space="preserve">The policy </w:t>
      </w:r>
      <w:r>
        <w:rPr>
          <w:rFonts w:ascii="Cambria" w:hAnsi="Cambria"/>
          <w:color w:val="1F4E79"/>
          <w:sz w:val="24"/>
        </w:rPr>
        <w:t>shall be reviewed at least annually or when significant changes occur, including acquisitions, new facilities, major process changes, incidents, or revised legal obligations.</w:t>
      </w:r>
    </w:p>
    <w:p w:rsidR="009A0987" w:rsidRDefault="005345D3">
      <w:pPr>
        <w:spacing w:after="80"/>
      </w:pPr>
      <w:r>
        <w:rPr>
          <w:rFonts w:ascii="Cambria" w:hAnsi="Cambria"/>
          <w:i/>
          <w:color w:val="C00000"/>
          <w:sz w:val="24"/>
        </w:rPr>
        <w:t>[Note] Consultant should verify alignment between the policy wording, actual site</w:t>
      </w:r>
      <w:r>
        <w:rPr>
          <w:rFonts w:ascii="Cambria" w:hAnsi="Cambria"/>
          <w:i/>
          <w:color w:val="C00000"/>
          <w:sz w:val="24"/>
        </w:rPr>
        <w:t xml:space="preserve"> controls, budgets, objectives, and evidence of leadership commitment before certification audit.</w:t>
      </w:r>
    </w:p>
    <w:p w:rsidR="00624A89" w:rsidRDefault="00624A89">
      <w:pPr>
        <w:spacing w:after="80"/>
        <w:rPr>
          <w:rFonts w:ascii="Cambria" w:hAnsi="Cambria"/>
          <w:b/>
          <w:color w:val="1F4E79"/>
          <w:sz w:val="24"/>
        </w:rPr>
      </w:pPr>
    </w:p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>7. POLICY APPROVAL AND RECORD OF ISSUE</w:t>
      </w:r>
    </w:p>
    <w:tbl>
      <w:tblPr>
        <w:tblStyle w:val="TableGrid"/>
        <w:tblW w:w="0" w:type="auto"/>
        <w:jc w:val="center"/>
        <w:tblLook w:val="04A0"/>
      </w:tblPr>
      <w:tblGrid>
        <w:gridCol w:w="2045"/>
        <w:gridCol w:w="2045"/>
        <w:gridCol w:w="2045"/>
        <w:gridCol w:w="2045"/>
        <w:gridCol w:w="2045"/>
      </w:tblGrid>
      <w:tr w:rsidR="009A0987">
        <w:trPr>
          <w:jc w:val="center"/>
        </w:trPr>
        <w:tc>
          <w:tcPr>
            <w:tcW w:w="2045" w:type="dxa"/>
            <w:shd w:val="clear" w:color="auto" w:fill="FCE4D6"/>
          </w:tcPr>
          <w:p w:rsidR="009A0987" w:rsidRDefault="005345D3">
            <w:r>
              <w:rPr>
                <w:rFonts w:ascii="Cambria" w:hAnsi="Cambria"/>
                <w:b/>
                <w:color w:val="1F4E79"/>
              </w:rPr>
              <w:t>Version</w:t>
            </w:r>
          </w:p>
        </w:tc>
        <w:tc>
          <w:tcPr>
            <w:tcW w:w="2045" w:type="dxa"/>
            <w:shd w:val="clear" w:color="auto" w:fill="FCE4D6"/>
          </w:tcPr>
          <w:p w:rsidR="009A0987" w:rsidRDefault="005345D3">
            <w:r>
              <w:rPr>
                <w:rFonts w:ascii="Cambria" w:hAnsi="Cambria"/>
                <w:b/>
                <w:color w:val="1F4E79"/>
              </w:rPr>
              <w:t>Effective Date</w:t>
            </w:r>
          </w:p>
        </w:tc>
        <w:tc>
          <w:tcPr>
            <w:tcW w:w="2045" w:type="dxa"/>
            <w:shd w:val="clear" w:color="auto" w:fill="FCE4D6"/>
          </w:tcPr>
          <w:p w:rsidR="009A0987" w:rsidRDefault="005345D3">
            <w:r>
              <w:rPr>
                <w:rFonts w:ascii="Cambria" w:hAnsi="Cambria"/>
                <w:b/>
                <w:color w:val="1F4E79"/>
              </w:rPr>
              <w:t>Approved By</w:t>
            </w:r>
          </w:p>
        </w:tc>
        <w:tc>
          <w:tcPr>
            <w:tcW w:w="2045" w:type="dxa"/>
            <w:shd w:val="clear" w:color="auto" w:fill="FCE4D6"/>
          </w:tcPr>
          <w:p w:rsidR="009A0987" w:rsidRDefault="005345D3">
            <w:r>
              <w:rPr>
                <w:rFonts w:ascii="Cambria" w:hAnsi="Cambria"/>
                <w:b/>
                <w:color w:val="1F4E79"/>
              </w:rPr>
              <w:t>Position</w:t>
            </w:r>
          </w:p>
        </w:tc>
        <w:tc>
          <w:tcPr>
            <w:tcW w:w="2045" w:type="dxa"/>
            <w:shd w:val="clear" w:color="auto" w:fill="FCE4D6"/>
          </w:tcPr>
          <w:p w:rsidR="009A0987" w:rsidRDefault="005345D3">
            <w:r>
              <w:rPr>
                <w:rFonts w:ascii="Cambria" w:hAnsi="Cambria"/>
                <w:b/>
                <w:color w:val="1F4E79"/>
              </w:rPr>
              <w:t>Next Review</w:t>
            </w:r>
          </w:p>
        </w:tc>
      </w:tr>
      <w:tr w:rsidR="009A0987">
        <w:trPr>
          <w:jc w:val="center"/>
        </w:trPr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</w:tr>
      <w:tr w:rsidR="009A0987">
        <w:trPr>
          <w:jc w:val="center"/>
        </w:trPr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</w:tr>
      <w:tr w:rsidR="009A0987">
        <w:trPr>
          <w:jc w:val="center"/>
        </w:trPr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</w:tr>
      <w:tr w:rsidR="009A0987">
        <w:trPr>
          <w:jc w:val="center"/>
        </w:trPr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</w:tr>
      <w:tr w:rsidR="009A0987">
        <w:trPr>
          <w:jc w:val="center"/>
        </w:trPr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</w:tr>
      <w:tr w:rsidR="009A0987">
        <w:trPr>
          <w:jc w:val="center"/>
        </w:trPr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  <w:tc>
          <w:tcPr>
            <w:tcW w:w="2045" w:type="dxa"/>
          </w:tcPr>
          <w:p w:rsidR="009A0987" w:rsidRDefault="009A0987"/>
        </w:tc>
      </w:tr>
    </w:tbl>
    <w:p w:rsidR="009A0987" w:rsidRDefault="009A0987"/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 xml:space="preserve">Example – Completed </w:t>
      </w:r>
      <w:r>
        <w:rPr>
          <w:rFonts w:ascii="Cambria" w:hAnsi="Cambria"/>
          <w:b/>
          <w:color w:val="1F4E79"/>
          <w:sz w:val="24"/>
        </w:rPr>
        <w:t>Approval Table</w:t>
      </w:r>
    </w:p>
    <w:tbl>
      <w:tblPr>
        <w:tblStyle w:val="TableGrid"/>
        <w:tblW w:w="0" w:type="auto"/>
        <w:tblLook w:val="04A0"/>
      </w:tblPr>
      <w:tblGrid>
        <w:gridCol w:w="1188"/>
        <w:gridCol w:w="2902"/>
        <w:gridCol w:w="2045"/>
        <w:gridCol w:w="2045"/>
        <w:gridCol w:w="2045"/>
      </w:tblGrid>
      <w:tr w:rsidR="009A0987" w:rsidTr="00624A89">
        <w:tc>
          <w:tcPr>
            <w:tcW w:w="1188" w:type="dxa"/>
            <w:shd w:val="clear" w:color="auto" w:fill="FCE4D6"/>
          </w:tcPr>
          <w:p w:rsidR="009A0987" w:rsidRDefault="005345D3">
            <w:r>
              <w:t>Version</w:t>
            </w:r>
          </w:p>
        </w:tc>
        <w:tc>
          <w:tcPr>
            <w:tcW w:w="2902" w:type="dxa"/>
            <w:shd w:val="clear" w:color="auto" w:fill="FCE4D6"/>
          </w:tcPr>
          <w:p w:rsidR="009A0987" w:rsidRDefault="005345D3">
            <w:r>
              <w:t>Effective Date</w:t>
            </w:r>
          </w:p>
        </w:tc>
        <w:tc>
          <w:tcPr>
            <w:tcW w:w="2045" w:type="dxa"/>
            <w:shd w:val="clear" w:color="auto" w:fill="FCE4D6"/>
          </w:tcPr>
          <w:p w:rsidR="009A0987" w:rsidRDefault="005345D3">
            <w:r>
              <w:t>Approved By</w:t>
            </w:r>
          </w:p>
        </w:tc>
        <w:tc>
          <w:tcPr>
            <w:tcW w:w="2045" w:type="dxa"/>
            <w:shd w:val="clear" w:color="auto" w:fill="FCE4D6"/>
          </w:tcPr>
          <w:p w:rsidR="009A0987" w:rsidRDefault="005345D3">
            <w:r>
              <w:t>Position</w:t>
            </w:r>
          </w:p>
        </w:tc>
        <w:tc>
          <w:tcPr>
            <w:tcW w:w="2045" w:type="dxa"/>
            <w:shd w:val="clear" w:color="auto" w:fill="FCE4D6"/>
          </w:tcPr>
          <w:p w:rsidR="009A0987" w:rsidRDefault="005345D3">
            <w:r>
              <w:t>Next Review</w:t>
            </w:r>
          </w:p>
        </w:tc>
      </w:tr>
      <w:tr w:rsidR="009A0987" w:rsidTr="00624A89">
        <w:tc>
          <w:tcPr>
            <w:tcW w:w="1188" w:type="dxa"/>
          </w:tcPr>
          <w:p w:rsidR="009A0987" w:rsidRDefault="005345D3">
            <w:r>
              <w:t>3.0</w:t>
            </w:r>
          </w:p>
        </w:tc>
        <w:tc>
          <w:tcPr>
            <w:tcW w:w="2902" w:type="dxa"/>
          </w:tcPr>
          <w:p w:rsidR="009A0987" w:rsidRDefault="005345D3">
            <w:r>
              <w:t>01-Jan-2026</w:t>
            </w:r>
          </w:p>
        </w:tc>
        <w:tc>
          <w:tcPr>
            <w:tcW w:w="2045" w:type="dxa"/>
          </w:tcPr>
          <w:p w:rsidR="009A0987" w:rsidRDefault="005345D3">
            <w:r>
              <w:t>Michael Turner</w:t>
            </w:r>
          </w:p>
        </w:tc>
        <w:tc>
          <w:tcPr>
            <w:tcW w:w="2045" w:type="dxa"/>
          </w:tcPr>
          <w:p w:rsidR="009A0987" w:rsidRDefault="005345D3">
            <w:r>
              <w:t>Chief Executive Officer</w:t>
            </w:r>
          </w:p>
        </w:tc>
        <w:tc>
          <w:tcPr>
            <w:tcW w:w="2045" w:type="dxa"/>
          </w:tcPr>
          <w:p w:rsidR="009A0987" w:rsidRDefault="005345D3">
            <w:r>
              <w:t>01-Jan-2027</w:t>
            </w:r>
          </w:p>
        </w:tc>
      </w:tr>
      <w:tr w:rsidR="009A0987" w:rsidTr="00624A89">
        <w:tc>
          <w:tcPr>
            <w:tcW w:w="1188" w:type="dxa"/>
          </w:tcPr>
          <w:p w:rsidR="009A0987" w:rsidRDefault="005345D3">
            <w:r>
              <w:t>3.0</w:t>
            </w:r>
          </w:p>
        </w:tc>
        <w:tc>
          <w:tcPr>
            <w:tcW w:w="2902" w:type="dxa"/>
          </w:tcPr>
          <w:p w:rsidR="009A0987" w:rsidRDefault="005345D3">
            <w:r>
              <w:t>01-Jan-2026</w:t>
            </w:r>
          </w:p>
        </w:tc>
        <w:tc>
          <w:tcPr>
            <w:tcW w:w="2045" w:type="dxa"/>
          </w:tcPr>
          <w:p w:rsidR="009A0987" w:rsidRDefault="005345D3">
            <w:r>
              <w:t>Emma Collins</w:t>
            </w:r>
          </w:p>
        </w:tc>
        <w:tc>
          <w:tcPr>
            <w:tcW w:w="2045" w:type="dxa"/>
          </w:tcPr>
          <w:p w:rsidR="009A0987" w:rsidRDefault="005345D3">
            <w:r>
              <w:t>Chief Operations Officer</w:t>
            </w:r>
          </w:p>
        </w:tc>
        <w:tc>
          <w:tcPr>
            <w:tcW w:w="2045" w:type="dxa"/>
          </w:tcPr>
          <w:p w:rsidR="009A0987" w:rsidRDefault="005345D3">
            <w:r>
              <w:t>01-Jan-2027</w:t>
            </w:r>
          </w:p>
        </w:tc>
      </w:tr>
      <w:tr w:rsidR="009A0987" w:rsidTr="00624A89">
        <w:tc>
          <w:tcPr>
            <w:tcW w:w="1188" w:type="dxa"/>
          </w:tcPr>
          <w:p w:rsidR="009A0987" w:rsidRDefault="005345D3">
            <w:r>
              <w:t>3.0</w:t>
            </w:r>
          </w:p>
        </w:tc>
        <w:tc>
          <w:tcPr>
            <w:tcW w:w="2902" w:type="dxa"/>
          </w:tcPr>
          <w:p w:rsidR="009A0987" w:rsidRDefault="005345D3">
            <w:r>
              <w:t>01-Jan-2026</w:t>
            </w:r>
          </w:p>
        </w:tc>
        <w:tc>
          <w:tcPr>
            <w:tcW w:w="2045" w:type="dxa"/>
          </w:tcPr>
          <w:p w:rsidR="009A0987" w:rsidRDefault="005345D3">
            <w:r>
              <w:t>David Müller</w:t>
            </w:r>
          </w:p>
        </w:tc>
        <w:tc>
          <w:tcPr>
            <w:tcW w:w="2045" w:type="dxa"/>
          </w:tcPr>
          <w:p w:rsidR="009A0987" w:rsidRDefault="005345D3">
            <w:r>
              <w:t>VP Manufacturing</w:t>
            </w:r>
          </w:p>
        </w:tc>
        <w:tc>
          <w:tcPr>
            <w:tcW w:w="2045" w:type="dxa"/>
          </w:tcPr>
          <w:p w:rsidR="009A0987" w:rsidRDefault="005345D3">
            <w:r>
              <w:t>01-Jan-2027</w:t>
            </w:r>
          </w:p>
        </w:tc>
      </w:tr>
      <w:tr w:rsidR="009A0987" w:rsidTr="00624A89">
        <w:tc>
          <w:tcPr>
            <w:tcW w:w="1188" w:type="dxa"/>
          </w:tcPr>
          <w:p w:rsidR="009A0987" w:rsidRDefault="005345D3">
            <w:r>
              <w:t>3.0</w:t>
            </w:r>
          </w:p>
        </w:tc>
        <w:tc>
          <w:tcPr>
            <w:tcW w:w="2902" w:type="dxa"/>
          </w:tcPr>
          <w:p w:rsidR="009A0987" w:rsidRDefault="005345D3">
            <w:r>
              <w:t>01-Jan-2026</w:t>
            </w:r>
          </w:p>
        </w:tc>
        <w:tc>
          <w:tcPr>
            <w:tcW w:w="2045" w:type="dxa"/>
          </w:tcPr>
          <w:p w:rsidR="009A0987" w:rsidRDefault="005345D3">
            <w:r>
              <w:t>Sofia Laurent</w:t>
            </w:r>
          </w:p>
        </w:tc>
        <w:tc>
          <w:tcPr>
            <w:tcW w:w="2045" w:type="dxa"/>
          </w:tcPr>
          <w:p w:rsidR="009A0987" w:rsidRDefault="005345D3">
            <w:r>
              <w:t>VP Supply Chain</w:t>
            </w:r>
          </w:p>
        </w:tc>
        <w:tc>
          <w:tcPr>
            <w:tcW w:w="2045" w:type="dxa"/>
          </w:tcPr>
          <w:p w:rsidR="009A0987" w:rsidRDefault="005345D3">
            <w:r>
              <w:t>01-Jan-2027</w:t>
            </w:r>
          </w:p>
        </w:tc>
      </w:tr>
      <w:tr w:rsidR="009A0987" w:rsidTr="00624A89">
        <w:tc>
          <w:tcPr>
            <w:tcW w:w="1188" w:type="dxa"/>
          </w:tcPr>
          <w:p w:rsidR="009A0987" w:rsidRDefault="005345D3">
            <w:r>
              <w:t>3.0</w:t>
            </w:r>
          </w:p>
        </w:tc>
        <w:tc>
          <w:tcPr>
            <w:tcW w:w="2902" w:type="dxa"/>
          </w:tcPr>
          <w:p w:rsidR="009A0987" w:rsidRDefault="005345D3">
            <w:r>
              <w:t>01-Jan-2026</w:t>
            </w:r>
          </w:p>
        </w:tc>
        <w:tc>
          <w:tcPr>
            <w:tcW w:w="2045" w:type="dxa"/>
          </w:tcPr>
          <w:p w:rsidR="009A0987" w:rsidRDefault="005345D3">
            <w:r>
              <w:t>James Walker</w:t>
            </w:r>
          </w:p>
        </w:tc>
        <w:tc>
          <w:tcPr>
            <w:tcW w:w="2045" w:type="dxa"/>
          </w:tcPr>
          <w:p w:rsidR="009A0987" w:rsidRDefault="005345D3">
            <w:r>
              <w:t>Regional Director APAC</w:t>
            </w:r>
          </w:p>
        </w:tc>
        <w:tc>
          <w:tcPr>
            <w:tcW w:w="2045" w:type="dxa"/>
          </w:tcPr>
          <w:p w:rsidR="009A0987" w:rsidRDefault="005345D3">
            <w:r>
              <w:t>01-Jan-2027</w:t>
            </w:r>
          </w:p>
        </w:tc>
      </w:tr>
      <w:tr w:rsidR="009A0987" w:rsidTr="00624A89">
        <w:tc>
          <w:tcPr>
            <w:tcW w:w="1188" w:type="dxa"/>
          </w:tcPr>
          <w:p w:rsidR="009A0987" w:rsidRDefault="005345D3">
            <w:r>
              <w:t>3.0</w:t>
            </w:r>
          </w:p>
        </w:tc>
        <w:tc>
          <w:tcPr>
            <w:tcW w:w="2902" w:type="dxa"/>
          </w:tcPr>
          <w:p w:rsidR="009A0987" w:rsidRDefault="005345D3">
            <w:r>
              <w:t>01-Jan-2026</w:t>
            </w:r>
          </w:p>
        </w:tc>
        <w:tc>
          <w:tcPr>
            <w:tcW w:w="2045" w:type="dxa"/>
          </w:tcPr>
          <w:p w:rsidR="009A0987" w:rsidRDefault="005345D3">
            <w:r>
              <w:t>Anna Becker</w:t>
            </w:r>
          </w:p>
        </w:tc>
        <w:tc>
          <w:tcPr>
            <w:tcW w:w="2045" w:type="dxa"/>
          </w:tcPr>
          <w:p w:rsidR="009A0987" w:rsidRDefault="005345D3">
            <w:r>
              <w:t>Head of Sustainability</w:t>
            </w:r>
          </w:p>
        </w:tc>
        <w:tc>
          <w:tcPr>
            <w:tcW w:w="2045" w:type="dxa"/>
          </w:tcPr>
          <w:p w:rsidR="009A0987" w:rsidRDefault="005345D3">
            <w:r>
              <w:t>01-Jan-2027</w:t>
            </w:r>
          </w:p>
        </w:tc>
      </w:tr>
    </w:tbl>
    <w:p w:rsidR="00624A89" w:rsidRDefault="00624A89">
      <w:pPr>
        <w:spacing w:after="80"/>
        <w:rPr>
          <w:rFonts w:ascii="Cambria" w:hAnsi="Cambria"/>
          <w:b/>
          <w:color w:val="1F4E79"/>
          <w:sz w:val="24"/>
        </w:rPr>
      </w:pPr>
    </w:p>
    <w:p w:rsidR="009A0987" w:rsidRDefault="005345D3">
      <w:pPr>
        <w:spacing w:after="80"/>
      </w:pPr>
      <w:r>
        <w:rPr>
          <w:rFonts w:ascii="Cambria" w:hAnsi="Cambria"/>
          <w:b/>
          <w:color w:val="1F4E79"/>
          <w:sz w:val="24"/>
        </w:rPr>
        <w:t>8. REFERENCES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t>• ISO 14001:2015 Environmental management</w:t>
      </w:r>
      <w:r>
        <w:rPr>
          <w:rFonts w:ascii="Cambria" w:hAnsi="Cambria"/>
          <w:color w:val="1F4E79"/>
          <w:sz w:val="24"/>
        </w:rPr>
        <w:t xml:space="preserve"> systems — Requirements with guidance for use (www.iso.org)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t>• ISO 14004 Environmental management systems — General guidelines on implementation</w:t>
      </w:r>
    </w:p>
    <w:p w:rsidR="009A0987" w:rsidRDefault="005345D3">
      <w:pPr>
        <w:spacing w:after="80"/>
      </w:pPr>
      <w:r>
        <w:rPr>
          <w:rFonts w:ascii="Cambria" w:hAnsi="Cambria"/>
          <w:color w:val="1F4E79"/>
          <w:sz w:val="24"/>
        </w:rPr>
        <w:t>• Applicable national environmental legislation and regulatory registers</w:t>
      </w:r>
    </w:p>
    <w:sectPr w:rsidR="009A0987" w:rsidSect="00034616">
      <w:headerReference w:type="default" r:id="rId8"/>
      <w:footerReference w:type="default" r:id="rId9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D3" w:rsidRDefault="005345D3" w:rsidP="009A0987">
      <w:pPr>
        <w:spacing w:after="0" w:line="240" w:lineRule="auto"/>
      </w:pPr>
      <w:r>
        <w:separator/>
      </w:r>
    </w:p>
  </w:endnote>
  <w:endnote w:type="continuationSeparator" w:id="1">
    <w:p w:rsidR="005345D3" w:rsidRDefault="005345D3" w:rsidP="009A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87" w:rsidRDefault="005345D3">
    <w:pPr>
      <w:pStyle w:val="Footer"/>
      <w:jc w:val="center"/>
    </w:pPr>
    <w:r>
      <w:rPr>
        <w:rFonts w:ascii="Cambria" w:hAnsi="Cambria"/>
        <w:color w:val="1F4E79"/>
        <w:sz w:val="20"/>
      </w:rPr>
      <w:t>TÀI LI</w:t>
    </w:r>
    <w:r>
      <w:rPr>
        <w:rFonts w:ascii="Cambria" w:hAnsi="Cambria"/>
        <w:color w:val="1F4E79"/>
        <w:sz w:val="20"/>
      </w:rPr>
      <w:t>Ệ</w:t>
    </w:r>
    <w:r>
      <w:rPr>
        <w:rFonts w:ascii="Cambria" w:hAnsi="Cambria"/>
        <w:color w:val="1F4E79"/>
        <w:sz w:val="20"/>
      </w:rPr>
      <w:t>U C</w:t>
    </w:r>
    <w:r>
      <w:rPr>
        <w:rFonts w:ascii="Cambria" w:hAnsi="Cambria"/>
        <w:color w:val="1F4E79"/>
        <w:sz w:val="20"/>
      </w:rPr>
      <w:t>Ủ</w:t>
    </w:r>
    <w:r>
      <w:rPr>
        <w:rFonts w:ascii="Cambria" w:hAnsi="Cambria"/>
        <w:color w:val="1F4E79"/>
        <w:sz w:val="20"/>
      </w:rPr>
      <w:t>A STANDARD-TOOLKITS</w:t>
    </w:r>
    <w:r>
      <w:rPr>
        <w:rFonts w:ascii="Cambria" w:hAnsi="Cambria"/>
        <w:color w:val="1F4E79"/>
        <w:sz w:val="20"/>
      </w:rPr>
      <w:br/>
      <w:t>Website: www.standard-toolkits.org | Email: info@standard-toolkits.org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D3" w:rsidRDefault="005345D3" w:rsidP="009A0987">
      <w:pPr>
        <w:spacing w:after="0" w:line="240" w:lineRule="auto"/>
      </w:pPr>
      <w:r>
        <w:separator/>
      </w:r>
    </w:p>
  </w:footnote>
  <w:footnote w:type="continuationSeparator" w:id="1">
    <w:p w:rsidR="005345D3" w:rsidRDefault="005345D3" w:rsidP="009A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87" w:rsidRDefault="005345D3">
    <w:pPr>
      <w:pStyle w:val="Header"/>
      <w:jc w:val="center"/>
    </w:pPr>
    <w:r>
      <w:rPr>
        <w:rFonts w:ascii="Cambria" w:eastAsia="Cambria" w:hAnsi="Cambria"/>
        <w:color w:val="1F4E79"/>
        <w:sz w:val="20"/>
      </w:rPr>
      <w:t>STANDARD-TOOLKITS</w:t>
    </w:r>
    <w:r>
      <w:rPr>
        <w:rFonts w:ascii="Cambria" w:eastAsia="Cambria" w:hAnsi="Cambria"/>
        <w:color w:val="1F4E79"/>
        <w:sz w:val="20"/>
      </w:rPr>
      <w:br/>
      <w:t>ISO 14001 Environmental Policy 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5345D3"/>
    <w:rsid w:val="00624A89"/>
    <w:rsid w:val="009A0987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3234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2026-04-29T03:02:00Z</dcterms:modified>
  <cp:category/>
</cp:coreProperties>
</file>