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25" w:rsidRDefault="00656190">
      <w:pPr>
        <w:spacing w:before="480" w:after="240"/>
        <w:jc w:val="center"/>
        <w:rPr>
          <w:rFonts w:ascii="Arial" w:eastAsia="Arial" w:hAnsi="Arial"/>
          <w:b/>
          <w:sz w:val="32"/>
        </w:rPr>
      </w:pPr>
      <w:r>
        <w:rPr>
          <w:rFonts w:ascii="Arial" w:eastAsia="Arial" w:hAnsi="Arial"/>
          <w:b/>
          <w:sz w:val="32"/>
        </w:rPr>
        <w:t>INFORMATION SECURITY POLICY</w:t>
      </w:r>
    </w:p>
    <w:p w:rsidR="00087C25" w:rsidRDefault="004D5560">
      <w:pPr>
        <w:pStyle w:val="Heading1"/>
        <w:spacing w:before="240" w:after="120"/>
      </w:pPr>
      <w:r>
        <w:rPr>
          <w:rFonts w:ascii="Arial" w:eastAsia="Arial" w:hAnsi="Arial"/>
        </w:rPr>
        <w:br/>
      </w:r>
      <w:r w:rsidR="00656190">
        <w:rPr>
          <w:rFonts w:ascii="Arial" w:eastAsia="Arial" w:hAnsi="Arial"/>
        </w:rPr>
        <w:t>DOCUMENT CONTROL</w:t>
      </w:r>
    </w:p>
    <w:tbl>
      <w:tblPr>
        <w:tblStyle w:val="TableGrid"/>
        <w:tblW w:w="0" w:type="auto"/>
        <w:jc w:val="center"/>
        <w:tblLook w:val="04A0"/>
      </w:tblPr>
      <w:tblGrid>
        <w:gridCol w:w="3168"/>
        <w:gridCol w:w="6912"/>
      </w:tblGrid>
      <w:tr w:rsidR="00087C25">
        <w:trPr>
          <w:tblHeader/>
          <w:jc w:val="center"/>
        </w:trPr>
        <w:tc>
          <w:tcPr>
            <w:tcW w:w="316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20"/>
              </w:rPr>
              <w:t>Field</w:t>
            </w:r>
          </w:p>
        </w:tc>
        <w:tc>
          <w:tcPr>
            <w:tcW w:w="691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20"/>
              </w:rPr>
              <w:t>Information</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Document title</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Information Security Policy</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Document owner</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Chief Information</w:t>
            </w:r>
            <w:r>
              <w:rPr>
                <w:sz w:val="20"/>
              </w:rPr>
              <w:t xml:space="preserve"> Security Officer</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Document sponsor</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Executive Management Committee</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Applicable standard</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ISO/IEC 27001:2022 and ISO/IEC 27002:2022</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Version</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1.0</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Status</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Approved for implementation</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Effective date</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To be completed by the organization</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Review frequency</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At leas</w:t>
            </w:r>
            <w:r>
              <w:rPr>
                <w:sz w:val="20"/>
              </w:rPr>
              <w:t>t annually or upon significant change</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Confidentiality classification</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Internal Use</w:t>
            </w:r>
          </w:p>
        </w:tc>
      </w:tr>
      <w:tr w:rsidR="00087C25">
        <w:trPr>
          <w:jc w:val="center"/>
        </w:trPr>
        <w:tc>
          <w:tcPr>
            <w:tcW w:w="316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Approved by</w:t>
            </w:r>
          </w:p>
        </w:tc>
        <w:tc>
          <w:tcPr>
            <w:tcW w:w="691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20"/>
              </w:rPr>
              <w:t>Chief Executive Officer or delegated executive authority</w:t>
            </w:r>
          </w:p>
        </w:tc>
      </w:tr>
    </w:tbl>
    <w:p w:rsidR="00087C25" w:rsidRDefault="00656190">
      <w:pPr>
        <w:keepLines/>
        <w:spacing w:before="60" w:after="160"/>
      </w:pPr>
      <w:r>
        <w:rPr>
          <w:b/>
          <w:i/>
          <w:color w:val="C00000"/>
        </w:rPr>
        <w:t xml:space="preserve">[Note] </w:t>
      </w:r>
      <w:r>
        <w:rPr>
          <w:i/>
          <w:color w:val="C00000"/>
        </w:rPr>
        <w:t xml:space="preserve">The consultant should confirm the legal entity name, approval authority, and document </w:t>
      </w:r>
      <w:r>
        <w:rPr>
          <w:i/>
          <w:color w:val="C00000"/>
        </w:rPr>
        <w:t>classification before issuing this policy for formal approval.</w:t>
      </w:r>
    </w:p>
    <w:p w:rsidR="00087C25" w:rsidRDefault="00656190">
      <w:pPr>
        <w:pStyle w:val="Heading1"/>
        <w:spacing w:before="240" w:after="120"/>
      </w:pPr>
      <w:r>
        <w:rPr>
          <w:rFonts w:ascii="Arial" w:eastAsia="Arial" w:hAnsi="Arial"/>
        </w:rPr>
        <w:t>DOCUMENT STRUCTURE</w:t>
      </w:r>
    </w:p>
    <w:p w:rsidR="00087C25" w:rsidRDefault="00656190">
      <w:pPr>
        <w:pStyle w:val="ListBullet"/>
        <w:spacing w:after="60" w:line="259" w:lineRule="auto"/>
      </w:pPr>
      <w:r>
        <w:t>Document Control</w:t>
      </w:r>
    </w:p>
    <w:p w:rsidR="00087C25" w:rsidRDefault="00656190">
      <w:pPr>
        <w:pStyle w:val="ListBullet"/>
        <w:spacing w:after="60" w:line="259" w:lineRule="auto"/>
      </w:pPr>
      <w:r>
        <w:t>Purpose and Policy Statement</w:t>
      </w:r>
    </w:p>
    <w:p w:rsidR="00087C25" w:rsidRDefault="00656190">
      <w:pPr>
        <w:pStyle w:val="ListBullet"/>
        <w:spacing w:after="60" w:line="259" w:lineRule="auto"/>
      </w:pPr>
      <w:r>
        <w:t>Scope and Applicability</w:t>
      </w:r>
    </w:p>
    <w:p w:rsidR="00087C25" w:rsidRDefault="00656190">
      <w:pPr>
        <w:pStyle w:val="ListBullet"/>
        <w:spacing w:after="60" w:line="259" w:lineRule="auto"/>
      </w:pPr>
      <w:r>
        <w:t>Normative References and Alignment</w:t>
      </w:r>
    </w:p>
    <w:p w:rsidR="00087C25" w:rsidRDefault="00656190">
      <w:pPr>
        <w:pStyle w:val="ListBullet"/>
        <w:spacing w:after="60" w:line="259" w:lineRule="auto"/>
      </w:pPr>
      <w:r>
        <w:t>Information Security Principles</w:t>
      </w:r>
    </w:p>
    <w:p w:rsidR="00087C25" w:rsidRDefault="00656190">
      <w:pPr>
        <w:pStyle w:val="ListBullet"/>
        <w:spacing w:after="60" w:line="259" w:lineRule="auto"/>
      </w:pPr>
      <w:r>
        <w:t xml:space="preserve">Governance, Roles, Responsibilities, </w:t>
      </w:r>
      <w:r>
        <w:t>and Authorities</w:t>
      </w:r>
    </w:p>
    <w:p w:rsidR="00087C25" w:rsidRDefault="00656190">
      <w:pPr>
        <w:pStyle w:val="ListBullet"/>
        <w:spacing w:after="60" w:line="259" w:lineRule="auto"/>
      </w:pPr>
      <w:r>
        <w:t>Risk Management and Control Framework</w:t>
      </w:r>
    </w:p>
    <w:p w:rsidR="00087C25" w:rsidRDefault="00656190">
      <w:pPr>
        <w:pStyle w:val="ListBullet"/>
        <w:spacing w:after="60" w:line="259" w:lineRule="auto"/>
      </w:pPr>
      <w:r>
        <w:t>Asset Management and Information Classification</w:t>
      </w:r>
    </w:p>
    <w:p w:rsidR="00087C25" w:rsidRDefault="00656190">
      <w:pPr>
        <w:pStyle w:val="ListBullet"/>
        <w:spacing w:after="60" w:line="259" w:lineRule="auto"/>
      </w:pPr>
      <w:r>
        <w:t>Access Control and Identity Management</w:t>
      </w:r>
    </w:p>
    <w:p w:rsidR="00087C25" w:rsidRDefault="00656190">
      <w:pPr>
        <w:pStyle w:val="ListBullet"/>
        <w:spacing w:after="60" w:line="259" w:lineRule="auto"/>
      </w:pPr>
      <w:r>
        <w:t>Physical, Environmental, and Operational Security</w:t>
      </w:r>
    </w:p>
    <w:p w:rsidR="00087C25" w:rsidRDefault="00656190">
      <w:pPr>
        <w:pStyle w:val="ListBullet"/>
        <w:spacing w:after="60" w:line="259" w:lineRule="auto"/>
      </w:pPr>
      <w:r>
        <w:t>Supplier, Cloud, and Third-Party Security</w:t>
      </w:r>
    </w:p>
    <w:p w:rsidR="00087C25" w:rsidRDefault="00656190">
      <w:pPr>
        <w:pStyle w:val="ListBullet"/>
        <w:spacing w:after="60" w:line="259" w:lineRule="auto"/>
      </w:pPr>
      <w:r>
        <w:t xml:space="preserve">Incident Management, </w:t>
      </w:r>
      <w:r>
        <w:t>Business Continuity, and Resilience</w:t>
      </w:r>
    </w:p>
    <w:p w:rsidR="00087C25" w:rsidRDefault="00656190">
      <w:pPr>
        <w:pStyle w:val="ListBullet"/>
        <w:spacing w:after="60" w:line="259" w:lineRule="auto"/>
      </w:pPr>
      <w:r>
        <w:t>Compliance, Monitoring, and Continual Improvement</w:t>
      </w:r>
    </w:p>
    <w:p w:rsidR="00087C25" w:rsidRDefault="00656190">
      <w:pPr>
        <w:pStyle w:val="ListBullet"/>
        <w:spacing w:after="60" w:line="259" w:lineRule="auto"/>
      </w:pPr>
      <w:r>
        <w:t>Awareness, Training, and Disciplinary Process</w:t>
      </w:r>
    </w:p>
    <w:p w:rsidR="00087C25" w:rsidRDefault="00656190">
      <w:pPr>
        <w:pStyle w:val="ListBullet"/>
        <w:spacing w:after="60" w:line="259" w:lineRule="auto"/>
      </w:pPr>
      <w:r>
        <w:t>Policy Exceptions and Waivers</w:t>
      </w:r>
    </w:p>
    <w:p w:rsidR="00087C25" w:rsidRDefault="00656190">
      <w:pPr>
        <w:pStyle w:val="ListBullet"/>
        <w:spacing w:after="60" w:line="259" w:lineRule="auto"/>
      </w:pPr>
      <w:r>
        <w:t>Records, Evidence, and Retention</w:t>
      </w:r>
    </w:p>
    <w:p w:rsidR="00087C25" w:rsidRDefault="00656190">
      <w:pPr>
        <w:pStyle w:val="ListBullet"/>
        <w:spacing w:after="60" w:line="259" w:lineRule="auto"/>
      </w:pPr>
      <w:r>
        <w:t>Appendices and Working Templates</w:t>
      </w:r>
    </w:p>
    <w:p w:rsidR="00087C25" w:rsidRDefault="00656190">
      <w:pPr>
        <w:pStyle w:val="ListBullet"/>
        <w:spacing w:after="60" w:line="259" w:lineRule="auto"/>
      </w:pPr>
      <w:r>
        <w:t>References</w:t>
      </w:r>
    </w:p>
    <w:p w:rsidR="00087C25" w:rsidRDefault="00656190">
      <w:pPr>
        <w:pStyle w:val="Heading1"/>
        <w:spacing w:before="240" w:after="120"/>
      </w:pPr>
      <w:r>
        <w:rPr>
          <w:rFonts w:ascii="Arial" w:eastAsia="Arial" w:hAnsi="Arial"/>
        </w:rPr>
        <w:t>PURPOSE AND POLIC</w:t>
      </w:r>
      <w:r>
        <w:rPr>
          <w:rFonts w:ascii="Arial" w:eastAsia="Arial" w:hAnsi="Arial"/>
        </w:rPr>
        <w:t>Y STATEMENT</w:t>
      </w:r>
    </w:p>
    <w:p w:rsidR="00087C25" w:rsidRDefault="00656190">
      <w:pPr>
        <w:spacing w:after="120" w:line="259" w:lineRule="auto"/>
      </w:pPr>
      <w:r>
        <w:t>This Information Security Policy establishes the mandatory principles, responsibilities, and control expectations for protecting the confidentiality, integrity, and availability of information assets across the enterprise. It supports the estab</w:t>
      </w:r>
      <w:r>
        <w:t xml:space="preserve">lishment, implementation, maintenance, and </w:t>
      </w:r>
      <w:r>
        <w:lastRenderedPageBreak/>
        <w:t>continual improvement of the Information Security Management System (ISMS) in alignment with ISO/IEC 27001:2022 requirements and relevant ISO/IEC 27002:2022 control guidance.</w:t>
      </w:r>
    </w:p>
    <w:p w:rsidR="00087C25" w:rsidRDefault="00656190">
      <w:pPr>
        <w:spacing w:after="120" w:line="259" w:lineRule="auto"/>
      </w:pPr>
      <w:r>
        <w:t>The organization recognizes that infor</w:t>
      </w:r>
      <w:r>
        <w:t>mation is a strategic business asset. In a large manufacturing and trading environment, information security protects production continuity, supply chain reliability, customer trust, intellectual property, financial records, employee information, operation</w:t>
      </w:r>
      <w:r>
        <w:t>al technology, enterprise resource planning data, and digital commerce operations. The organization shall manage information security risk using a systematic, risk-based, documented, and auditable approach.</w:t>
      </w:r>
    </w:p>
    <w:p w:rsidR="00087C25" w:rsidRDefault="00656190">
      <w:pPr>
        <w:spacing w:after="120" w:line="259" w:lineRule="auto"/>
      </w:pPr>
      <w:r>
        <w:t>The policy applies to all business units, manufac</w:t>
      </w:r>
      <w:r>
        <w:t>turing plants, trading offices, warehouses, distribution centers, shared service centers, subsidiaries, employees, temporary personnel, contractors, suppliers, service providers, and any party that accesses, processes, stores, transmits, or manages informa</w:t>
      </w:r>
      <w:r>
        <w:t>tion on behalf of the organization.</w:t>
      </w:r>
    </w:p>
    <w:p w:rsidR="00087C25" w:rsidRDefault="00656190">
      <w:pPr>
        <w:pStyle w:val="ListBullet"/>
        <w:spacing w:after="60" w:line="259" w:lineRule="auto"/>
      </w:pPr>
      <w:r>
        <w:t>Information security shall be integrated into corporate governance, enterprise risk management, business processes, project management, procurement, human resources, technology operations, production operations, and supp</w:t>
      </w:r>
      <w:r>
        <w:t>lier management.</w:t>
      </w:r>
    </w:p>
    <w:p w:rsidR="00087C25" w:rsidRDefault="00656190">
      <w:pPr>
        <w:pStyle w:val="ListBullet"/>
        <w:spacing w:after="60" w:line="259" w:lineRule="auto"/>
      </w:pPr>
      <w:r>
        <w:t>Security controls shall be selected and implemented based on information security risk assessment, legal and regulatory obligations, contractual commitments, business objectives, and the approved risk treatment plan.</w:t>
      </w:r>
    </w:p>
    <w:p w:rsidR="00087C25" w:rsidRDefault="00656190">
      <w:pPr>
        <w:pStyle w:val="ListBullet"/>
        <w:spacing w:after="60" w:line="259" w:lineRule="auto"/>
      </w:pPr>
      <w:r>
        <w:t>Management shall provi</w:t>
      </w:r>
      <w:r>
        <w:t>de leadership, direction, resources, and oversight to ensure the ISMS remains suitable, adequate, and effective.</w:t>
      </w:r>
    </w:p>
    <w:p w:rsidR="00087C25" w:rsidRDefault="00656190">
      <w:pPr>
        <w:keepLines/>
        <w:spacing w:before="60" w:after="160"/>
      </w:pPr>
      <w:r>
        <w:rPr>
          <w:b/>
          <w:i/>
          <w:color w:val="C00000"/>
        </w:rPr>
        <w:t xml:space="preserve">[Note] </w:t>
      </w:r>
      <w:r>
        <w:rPr>
          <w:i/>
          <w:color w:val="C00000"/>
        </w:rPr>
        <w:t>For implementation, validate that the policy statement is formally endorsed by top management and communicated using controlled communic</w:t>
      </w:r>
      <w:r>
        <w:rPr>
          <w:i/>
          <w:color w:val="C00000"/>
        </w:rPr>
        <w:t>ation channels.</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SCOPE AND APPLICABILITY</w:t>
      </w:r>
    </w:p>
    <w:p w:rsidR="00087C25" w:rsidRDefault="00656190">
      <w:pPr>
        <w:spacing w:after="120" w:line="259" w:lineRule="auto"/>
      </w:pPr>
      <w:r>
        <w:t>The scope of this policy includes all information assets and supporting processes that contribute to manufacturing, trading, supply chain, finance, human resources, sales, customer service, compliance, engineering, i</w:t>
      </w:r>
      <w:r>
        <w:t>nformation technology, operational technology, and corporate administration. Information assets may exist in physical, digital, verbal, or logical form and may be processed on premises, in cloud services, in supplier environments, or through mobile and rem</w:t>
      </w:r>
      <w:r>
        <w:t>ote working arrangements.</w:t>
      </w:r>
    </w:p>
    <w:p w:rsidR="00087C25" w:rsidRDefault="00656190">
      <w:pPr>
        <w:spacing w:after="120" w:line="259" w:lineRule="auto"/>
      </w:pPr>
      <w:r>
        <w:t>The policy applies throughout the information lifecycle, including creation, receipt, classification, storage, access, use, transfer, backup, archival, retention, destruction, and disposal. It covers enterprise systems such as ERP</w:t>
      </w:r>
      <w:r>
        <w:t>, MES, WMS, CRM, HRIS, identity platforms, email and collaboration systems, endpoint devices, network infrastructure, industrial control systems, data warehouses, analytics platforms, cloud applications, e-commerce systems, and supplier portals.</w:t>
      </w:r>
    </w:p>
    <w:p w:rsidR="00087C25" w:rsidRDefault="00656190">
      <w:pPr>
        <w:pStyle w:val="ListBullet"/>
        <w:spacing w:after="60" w:line="259" w:lineRule="auto"/>
      </w:pPr>
      <w:r>
        <w:t xml:space="preserve">In scope: </w:t>
      </w:r>
      <w:r>
        <w:t>employees, executives, contractors, temporary workers, outsourced service providers, third-party logistics providers, system integrators, managed service providers, cloud providers, and other authorized external parties.</w:t>
      </w:r>
    </w:p>
    <w:p w:rsidR="00087C25" w:rsidRDefault="00656190">
      <w:pPr>
        <w:pStyle w:val="ListBullet"/>
        <w:spacing w:after="60" w:line="259" w:lineRule="auto"/>
      </w:pPr>
      <w:r>
        <w:t>Out of scope exclusions shall be fo</w:t>
      </w:r>
      <w:r>
        <w:t>rmally documented, justified, risk assessed, approved by the ISMS Steering Committee, and retained as controlled ISMS evidence.</w:t>
      </w:r>
    </w:p>
    <w:p w:rsidR="00087C25" w:rsidRDefault="00656190">
      <w:pPr>
        <w:pStyle w:val="ListBullet"/>
        <w:spacing w:after="60" w:line="259" w:lineRule="auto"/>
      </w:pPr>
      <w:r>
        <w:lastRenderedPageBreak/>
        <w:t>Local procedures may add stricter requirements to satisfy country-specific, site-specific, customer-specific, or regulatory requ</w:t>
      </w:r>
      <w:r>
        <w:t>irements, provided they do not conflict with this policy.</w:t>
      </w:r>
    </w:p>
    <w:p w:rsidR="00087C25" w:rsidRDefault="00656190">
      <w:pPr>
        <w:keepLines/>
        <w:spacing w:before="60" w:after="160"/>
      </w:pPr>
      <w:r>
        <w:rPr>
          <w:b/>
          <w:i/>
          <w:color w:val="C00000"/>
        </w:rPr>
        <w:t xml:space="preserve">[Note] </w:t>
      </w:r>
      <w:r>
        <w:rPr>
          <w:i/>
          <w:color w:val="C00000"/>
        </w:rPr>
        <w:t>The consultant should reconcile this scope with the ISMS scope statement, Statement of Applicability, organizational context, interested party requirements, and certification boundary.</w:t>
      </w:r>
    </w:p>
    <w:p w:rsidR="004D5560" w:rsidRDefault="004D5560">
      <w:pPr>
        <w:pStyle w:val="Heading3"/>
        <w:spacing w:before="160" w:after="120"/>
        <w:rPr>
          <w:rFonts w:ascii="Cambria" w:eastAsia="Cambria" w:hAnsi="Cambria"/>
        </w:rPr>
      </w:pPr>
    </w:p>
    <w:p w:rsidR="00087C25" w:rsidRDefault="00656190">
      <w:pPr>
        <w:pStyle w:val="Heading3"/>
        <w:spacing w:before="160" w:after="120"/>
      </w:pPr>
      <w:r>
        <w:rPr>
          <w:rFonts w:ascii="Cambria" w:eastAsia="Cambria" w:hAnsi="Cambria"/>
        </w:rPr>
        <w:t xml:space="preserve">SCOPE </w:t>
      </w:r>
      <w:r>
        <w:rPr>
          <w:rFonts w:ascii="Cambria" w:eastAsia="Cambria" w:hAnsi="Cambria"/>
        </w:rPr>
        <w:t>APPLICABILITY MATRIX - BLANK TEMPLATE</w:t>
      </w:r>
    </w:p>
    <w:tbl>
      <w:tblPr>
        <w:tblStyle w:val="TableGrid"/>
        <w:tblW w:w="0" w:type="auto"/>
        <w:jc w:val="center"/>
        <w:tblLook w:val="04A0"/>
      </w:tblPr>
      <w:tblGrid>
        <w:gridCol w:w="1650"/>
        <w:gridCol w:w="977"/>
        <w:gridCol w:w="2066"/>
        <w:gridCol w:w="1775"/>
        <w:gridCol w:w="1386"/>
        <w:gridCol w:w="2442"/>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Business Area</w:t>
            </w:r>
          </w:p>
        </w:tc>
        <w:tc>
          <w:tcPr>
            <w:tcW w:w="100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 Scope</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Key Information Assets</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Primary Systems</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Security Owner</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Comments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087C25">
      <w:pPr>
        <w:spacing w:after="0" w:line="240" w:lineRule="auto"/>
      </w:pPr>
    </w:p>
    <w:p w:rsidR="00087C25" w:rsidRDefault="00656190">
      <w:pPr>
        <w:pStyle w:val="Heading3"/>
        <w:spacing w:before="160" w:after="120"/>
      </w:pPr>
      <w:r>
        <w:rPr>
          <w:rFonts w:ascii="Cambria" w:eastAsia="Cambria" w:hAnsi="Cambria"/>
        </w:rPr>
        <w:t>SCOPE APPLICABILITY MATRIX - EXAMPLE</w:t>
      </w:r>
    </w:p>
    <w:tbl>
      <w:tblPr>
        <w:tblStyle w:val="TableGrid"/>
        <w:tblW w:w="0" w:type="auto"/>
        <w:jc w:val="center"/>
        <w:tblLook w:val="04A0"/>
      </w:tblPr>
      <w:tblGrid>
        <w:gridCol w:w="1681"/>
        <w:gridCol w:w="970"/>
        <w:gridCol w:w="2050"/>
        <w:gridCol w:w="1774"/>
        <w:gridCol w:w="1384"/>
        <w:gridCol w:w="2437"/>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Business Area</w:t>
            </w:r>
          </w:p>
        </w:tc>
        <w:tc>
          <w:tcPr>
            <w:tcW w:w="100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 Scope</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Key Information Assets</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Primary Systems</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Security Owner</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Comments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Manufacturing operations</w:t>
            </w:r>
          </w:p>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Production schedules, batch records, quality data</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SAP S/4HANA, Siemens MES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Lukas Schneider</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Critical for production continuity and customer delivery commitments.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Trading and sales </w:t>
            </w:r>
            <w:r>
              <w:rPr>
                <w:sz w:val="18"/>
              </w:rPr>
              <w:t>offices</w:t>
            </w:r>
          </w:p>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Customer contracts, price lists, order forecasts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Salesforce, SAP SD</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Emily Carter</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Requires strict access controls for commercial data.</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Warehouse and distribution</w:t>
            </w:r>
          </w:p>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Inventory, shipment manifests, carrier data</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Blue Yonder WMS, Oracle TMS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Matteo</w:t>
            </w:r>
            <w:r>
              <w:rPr>
                <w:sz w:val="18"/>
              </w:rPr>
              <w:t xml:space="preserve"> Rossi</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Interfaces with third-party logistics providers.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Research and engineering</w:t>
            </w:r>
          </w:p>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Formulas, drawings, prototypes, product specifications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Autodesk Vault, SharePoint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Sophie Laurent</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 confidentiality due to intellectual property exposure.</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Human </w:t>
            </w:r>
            <w:r>
              <w:rPr>
                <w:sz w:val="18"/>
              </w:rPr>
              <w:t>resources</w:t>
            </w:r>
          </w:p>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Employee files, payroll, attendance records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Workday, ADP</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Oliver Bennett</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Privacy and retention obligations apply.</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Public marketing website</w:t>
            </w:r>
          </w:p>
        </w:tc>
        <w:tc>
          <w:tcPr>
            <w:tcW w:w="100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Public content, contact forms, analytics data</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Adobe Experience Manager</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Isabella Weber</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Security </w:t>
            </w:r>
            <w:r>
              <w:rPr>
                <w:sz w:val="18"/>
              </w:rPr>
              <w:t>requirements focus on integrity and availability.</w:t>
            </w:r>
          </w:p>
        </w:tc>
      </w:tr>
    </w:tbl>
    <w:p w:rsidR="00087C25" w:rsidRDefault="00087C25">
      <w:pPr>
        <w:spacing w:after="80" w:line="259" w:lineRule="auto"/>
      </w:pPr>
    </w:p>
    <w:p w:rsidR="00087C25" w:rsidRDefault="00656190">
      <w:pPr>
        <w:pStyle w:val="Heading1"/>
        <w:spacing w:before="240" w:after="120"/>
      </w:pPr>
      <w:r>
        <w:rPr>
          <w:rFonts w:ascii="Arial" w:eastAsia="Arial" w:hAnsi="Arial"/>
        </w:rPr>
        <w:t>NORMATIVE REFERENCES AND ALIGNMENT</w:t>
      </w:r>
    </w:p>
    <w:p w:rsidR="00087C25" w:rsidRDefault="00656190">
      <w:pPr>
        <w:spacing w:after="120" w:line="259" w:lineRule="auto"/>
      </w:pPr>
      <w:r>
        <w:t xml:space="preserve">This policy is designed to align with recognized information security management practices and the ISO/IEC 27000 family of standards. ISO/IEC 27001 defines requirements </w:t>
      </w:r>
      <w:r>
        <w:t>for an information security management system, while ISO/IEC 27002 provides guidance for information security controls. The organization shall use these standards as the primary framework for policy design, control selection, implementation evidence, and a</w:t>
      </w:r>
      <w:r>
        <w:t>udit readiness.</w:t>
      </w:r>
    </w:p>
    <w:p w:rsidR="00087C25" w:rsidRDefault="00656190">
      <w:pPr>
        <w:pStyle w:val="ListBullet"/>
        <w:spacing w:after="60" w:line="259" w:lineRule="auto"/>
      </w:pPr>
      <w:r>
        <w:t>ISO/IEC 27001:2022 - Information security, cybersecurity and privacy protection - Information security management systems - Requirements.</w:t>
      </w:r>
    </w:p>
    <w:p w:rsidR="00087C25" w:rsidRDefault="00656190">
      <w:pPr>
        <w:pStyle w:val="ListBullet"/>
        <w:spacing w:after="60" w:line="259" w:lineRule="auto"/>
      </w:pPr>
      <w:r>
        <w:t>ISO/IEC 27002:2022 - Information security, cybersecurity and privacy protection - Information security</w:t>
      </w:r>
      <w:r>
        <w:t xml:space="preserve"> controls.</w:t>
      </w:r>
    </w:p>
    <w:p w:rsidR="00087C25" w:rsidRDefault="00656190">
      <w:pPr>
        <w:pStyle w:val="ListBullet"/>
        <w:spacing w:after="60" w:line="259" w:lineRule="auto"/>
      </w:pPr>
      <w:r>
        <w:lastRenderedPageBreak/>
        <w:t>Applicable legal, statutory, regulatory, and contractual requirements, including privacy, trade compliance, customer information security clauses, intellectual property protection, and sector-specific obligations.</w:t>
      </w:r>
    </w:p>
    <w:p w:rsidR="00087C25" w:rsidRDefault="00656190">
      <w:pPr>
        <w:pStyle w:val="ListBullet"/>
        <w:spacing w:after="60" w:line="259" w:lineRule="auto"/>
      </w:pPr>
      <w:r>
        <w:t xml:space="preserve">Internal governance documents, </w:t>
      </w:r>
      <w:r>
        <w:t>including the ISMS scope, risk assessment methodology, Statement of Applicability, risk treatment plan, acceptable use policy, access control policy, supplier security policy, incident management procedure, business continuity arrangements, and records ret</w:t>
      </w:r>
      <w:r>
        <w:t>ention requirements.</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INFORMATION SECURITY PRINCIPLES</w:t>
      </w:r>
    </w:p>
    <w:p w:rsidR="00087C25" w:rsidRDefault="00656190">
      <w:pPr>
        <w:spacing w:after="120" w:line="259" w:lineRule="auto"/>
      </w:pPr>
      <w:r>
        <w:t>The following principles establish the baseline for decision-making and control implementation across the enterprise. They apply to all personnel and third parties with access to organizational informati</w:t>
      </w:r>
      <w:r>
        <w:t>on assets.</w:t>
      </w:r>
    </w:p>
    <w:p w:rsidR="00087C25" w:rsidRDefault="00656190">
      <w:pPr>
        <w:pStyle w:val="ListBullet"/>
        <w:spacing w:after="60" w:line="259" w:lineRule="auto"/>
      </w:pPr>
      <w:r>
        <w:t>Risk-based protection: security controls shall be proportionate to business impact, threat exposure, vulnerabilities, and legal or contractual obligations.</w:t>
      </w:r>
    </w:p>
    <w:p w:rsidR="00087C25" w:rsidRDefault="00656190">
      <w:pPr>
        <w:pStyle w:val="ListBullet"/>
        <w:spacing w:after="60" w:line="259" w:lineRule="auto"/>
      </w:pPr>
      <w:r>
        <w:t xml:space="preserve">Least privilege and need-to-know: access shall be granted only to authorized individuals </w:t>
      </w:r>
      <w:r>
        <w:t>and systems with a legitimate business requirement.</w:t>
      </w:r>
    </w:p>
    <w:p w:rsidR="00087C25" w:rsidRDefault="00656190">
      <w:pPr>
        <w:pStyle w:val="ListBullet"/>
        <w:spacing w:after="60" w:line="259" w:lineRule="auto"/>
      </w:pPr>
      <w:r>
        <w:t>Segregation of duties: incompatible responsibilities shall be separated to reduce the risk of fraud, misuse, unauthorized changes, and control override.</w:t>
      </w:r>
    </w:p>
    <w:p w:rsidR="00087C25" w:rsidRDefault="00656190">
      <w:pPr>
        <w:pStyle w:val="ListBullet"/>
        <w:spacing w:after="60" w:line="259" w:lineRule="auto"/>
      </w:pPr>
      <w:r>
        <w:t>Secure by design: security and privacy requirements</w:t>
      </w:r>
      <w:r>
        <w:t xml:space="preserve"> shall be considered during process design, system acquisition, development, implementation, change, and decommissioning.</w:t>
      </w:r>
    </w:p>
    <w:p w:rsidR="00087C25" w:rsidRDefault="00656190">
      <w:pPr>
        <w:pStyle w:val="ListBullet"/>
        <w:spacing w:after="60" w:line="259" w:lineRule="auto"/>
      </w:pPr>
      <w:r>
        <w:t>Defense in depth: preventive, detective, corrective, and recovery controls shall be implemented across people, process, technology, ph</w:t>
      </w:r>
      <w:r>
        <w:t>ysical, and supplier domains.</w:t>
      </w:r>
    </w:p>
    <w:p w:rsidR="00087C25" w:rsidRDefault="00656190">
      <w:pPr>
        <w:pStyle w:val="ListBullet"/>
        <w:spacing w:after="60" w:line="259" w:lineRule="auto"/>
      </w:pPr>
      <w:r>
        <w:t>Accountability: all users shall be uniquely identifiable, actions shall be traceable where feasible, and control ownership shall be clearly assigned.</w:t>
      </w:r>
    </w:p>
    <w:p w:rsidR="00087C25" w:rsidRDefault="00656190">
      <w:pPr>
        <w:pStyle w:val="ListBullet"/>
        <w:spacing w:after="60" w:line="259" w:lineRule="auto"/>
      </w:pPr>
      <w:r>
        <w:t>Continual improvement: the ISMS and its controls shall be monitored, measure</w:t>
      </w:r>
      <w:r>
        <w:t>d, audited, reviewed, and improved based on risk, performance, incidents, and changes.</w:t>
      </w:r>
    </w:p>
    <w:p w:rsidR="00087C25" w:rsidRDefault="00656190">
      <w:pPr>
        <w:keepLines/>
        <w:spacing w:before="60" w:after="160"/>
      </w:pPr>
      <w:r>
        <w:rPr>
          <w:b/>
          <w:i/>
          <w:color w:val="C00000"/>
        </w:rPr>
        <w:t xml:space="preserve">[Note] </w:t>
      </w:r>
      <w:r>
        <w:rPr>
          <w:i/>
          <w:color w:val="C00000"/>
        </w:rPr>
        <w:t>During workshops, convert these principles into site-level control expectations so that production, warehouse, and trading functions can apply them consistently.</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GOVERNANCE, ROLES, RESPONSIBILITIES, AND AUTHORITIES</w:t>
      </w:r>
    </w:p>
    <w:p w:rsidR="00087C25" w:rsidRDefault="00656190">
      <w:pPr>
        <w:spacing w:after="120" w:line="259" w:lineRule="auto"/>
      </w:pPr>
      <w:r>
        <w:t xml:space="preserve">Top management shall demonstrate leadership and commitment by ensuring that information security objectives are compatible with strategic direction, information security requirements are integrated into </w:t>
      </w:r>
      <w:r>
        <w:t>business processes, resources are available, roles and responsibilities are assigned, and the ISMS achieves intended outcomes. Governance shall operate through executive oversight, risk ownership, control ownership, operational accountability, and independ</w:t>
      </w:r>
      <w:r>
        <w:t>ent assurance.</w:t>
      </w:r>
    </w:p>
    <w:p w:rsidR="00087C25" w:rsidRDefault="00656190">
      <w:pPr>
        <w:spacing w:after="120" w:line="259" w:lineRule="auto"/>
      </w:pPr>
      <w:r>
        <w:t xml:space="preserve">The organization shall maintain a documented responsibility model that identifies the authority to approve security policies, accept risks, approve exceptions, respond to incidents, classify </w:t>
      </w:r>
      <w:r>
        <w:lastRenderedPageBreak/>
        <w:t>information, authorize access, and approve third-p</w:t>
      </w:r>
      <w:r>
        <w:t>arty security arrangements. Responsibilities shall be assigned to competent personnel and reviewed whenever organizational changes occur.</w:t>
      </w:r>
    </w:p>
    <w:p w:rsidR="00087C25" w:rsidRDefault="00656190">
      <w:pPr>
        <w:pStyle w:val="ListBullet"/>
        <w:spacing w:after="60" w:line="259" w:lineRule="auto"/>
      </w:pPr>
      <w:r>
        <w:t>Board or executive committee: provide strategic oversight, risk appetite, and governance direction.</w:t>
      </w:r>
    </w:p>
    <w:p w:rsidR="00087C25" w:rsidRDefault="00656190">
      <w:pPr>
        <w:pStyle w:val="ListBullet"/>
        <w:spacing w:after="60" w:line="259" w:lineRule="auto"/>
      </w:pPr>
      <w:r>
        <w:t xml:space="preserve">Chief Information </w:t>
      </w:r>
      <w:r>
        <w:t>Security Officer: own the ISMS framework, coordinate risk management, define security controls, monitor compliance, and report performance.</w:t>
      </w:r>
    </w:p>
    <w:p w:rsidR="00087C25" w:rsidRDefault="00656190">
      <w:pPr>
        <w:pStyle w:val="ListBullet"/>
        <w:spacing w:after="60" w:line="259" w:lineRule="auto"/>
      </w:pPr>
      <w:r>
        <w:t>Information asset owners: classify assets, define protection requirements, approve access, and ensure that risks are</w:t>
      </w:r>
      <w:r>
        <w:t xml:space="preserve"> assessed and treated.</w:t>
      </w:r>
    </w:p>
    <w:p w:rsidR="00087C25" w:rsidRDefault="00656190">
      <w:pPr>
        <w:pStyle w:val="ListBullet"/>
        <w:spacing w:after="60" w:line="259" w:lineRule="auto"/>
      </w:pPr>
      <w:r>
        <w:t>Process owners and plant managers: implement policy requirements within manufacturing, logistics, and trading processes.</w:t>
      </w:r>
    </w:p>
    <w:p w:rsidR="00087C25" w:rsidRDefault="00656190">
      <w:pPr>
        <w:pStyle w:val="ListBullet"/>
        <w:spacing w:after="60" w:line="259" w:lineRule="auto"/>
      </w:pPr>
      <w:r>
        <w:t>IT and OT operations teams: implement technical, operational, and monitoring controls for enterprise and product</w:t>
      </w:r>
      <w:r>
        <w:t>ion environments.</w:t>
      </w:r>
    </w:p>
    <w:p w:rsidR="00087C25" w:rsidRDefault="00656190">
      <w:pPr>
        <w:pStyle w:val="ListBullet"/>
        <w:spacing w:after="60" w:line="259" w:lineRule="auto"/>
      </w:pPr>
      <w:r>
        <w:t>Human resources: support screening, onboarding, awareness, disciplinary processes, and termination controls.</w:t>
      </w:r>
    </w:p>
    <w:p w:rsidR="00087C25" w:rsidRDefault="00656190">
      <w:pPr>
        <w:pStyle w:val="ListBullet"/>
        <w:spacing w:after="60" w:line="259" w:lineRule="auto"/>
      </w:pPr>
      <w:r>
        <w:t>Procurement and legal: ensure supplier security, contractual clauses, and compliance obligations are addressed.</w:t>
      </w:r>
    </w:p>
    <w:p w:rsidR="00087C25" w:rsidRDefault="00656190">
      <w:pPr>
        <w:pStyle w:val="ListBullet"/>
        <w:spacing w:after="60" w:line="259" w:lineRule="auto"/>
      </w:pPr>
      <w:r>
        <w:t>All users: comply</w:t>
      </w:r>
      <w:r>
        <w:t xml:space="preserve"> with policy requirements, complete training, protect credentials, report incidents, and use information assets responsibly.</w:t>
      </w:r>
    </w:p>
    <w:p w:rsidR="004D5560" w:rsidRDefault="004D5560">
      <w:pPr>
        <w:pStyle w:val="Heading3"/>
        <w:spacing w:before="160" w:after="120"/>
        <w:rPr>
          <w:rFonts w:ascii="Cambria" w:eastAsia="Cambria" w:hAnsi="Cambria"/>
        </w:rPr>
      </w:pPr>
    </w:p>
    <w:p w:rsidR="00087C25" w:rsidRDefault="00656190">
      <w:pPr>
        <w:pStyle w:val="Heading3"/>
        <w:spacing w:before="160" w:after="120"/>
      </w:pPr>
      <w:r>
        <w:rPr>
          <w:rFonts w:ascii="Cambria" w:eastAsia="Cambria" w:hAnsi="Cambria"/>
        </w:rPr>
        <w:t>INFORMATION SECURITY RESPONSIBILITY MATRIX - BLANK TEMPLATE</w:t>
      </w:r>
    </w:p>
    <w:tbl>
      <w:tblPr>
        <w:tblStyle w:val="TableGrid"/>
        <w:tblW w:w="0" w:type="auto"/>
        <w:jc w:val="center"/>
        <w:tblLook w:val="04A0"/>
      </w:tblPr>
      <w:tblGrid>
        <w:gridCol w:w="1571"/>
        <w:gridCol w:w="2237"/>
        <w:gridCol w:w="1672"/>
        <w:gridCol w:w="1995"/>
        <w:gridCol w:w="1358"/>
        <w:gridCol w:w="1463"/>
      </w:tblGrid>
      <w:tr w:rsidR="00087C25">
        <w:trPr>
          <w:tblHeader/>
          <w:jc w:val="center"/>
        </w:trPr>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Role</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Key Responsibilities</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Decision Authority</w:t>
            </w:r>
          </w:p>
        </w:tc>
        <w:tc>
          <w:tcPr>
            <w:tcW w:w="230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Required Evidence</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Review F</w:t>
            </w:r>
            <w:r>
              <w:rPr>
                <w:b/>
                <w:sz w:val="18"/>
              </w:rPr>
              <w:t>requency</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Escalation Path</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INFORMATION SECURITY RESPONSIBILITY MATRIX - EXAMPLE</w:t>
      </w:r>
    </w:p>
    <w:tbl>
      <w:tblPr>
        <w:tblStyle w:val="TableGrid"/>
        <w:tblW w:w="0" w:type="auto"/>
        <w:jc w:val="center"/>
        <w:tblLook w:val="04A0"/>
      </w:tblPr>
      <w:tblGrid>
        <w:gridCol w:w="1677"/>
        <w:gridCol w:w="2176"/>
        <w:gridCol w:w="1744"/>
        <w:gridCol w:w="1936"/>
        <w:gridCol w:w="1335"/>
        <w:gridCol w:w="1428"/>
      </w:tblGrid>
      <w:tr w:rsidR="00087C25">
        <w:trPr>
          <w:tblHeader/>
          <w:jc w:val="center"/>
        </w:trPr>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Role</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Key Responsibilities</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Decision Authority</w:t>
            </w:r>
          </w:p>
        </w:tc>
        <w:tc>
          <w:tcPr>
            <w:tcW w:w="230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Required Evidence</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Review Frequency</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Escalation Path</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Chief Information Security </w:t>
            </w:r>
            <w:r>
              <w:rPr>
                <w:sz w:val="18"/>
              </w:rPr>
              <w:t>Officer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Maintain ISMS, report risk, approve control standards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 security control baselines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ISMS dashboard, risk reports, SoA updates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Monthly</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Executive Risk Committee</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Plant Manager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Ensure site compliance, protect production data and OT assets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w:t>
            </w:r>
            <w:r>
              <w:rPr>
                <w:sz w:val="18"/>
              </w:rPr>
              <w:t xml:space="preserve"> site implementation plans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Site security checklist, corrective actions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COO and CISO</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Information Asset Owner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Classify information, approve access, review risks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 access and classification</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Access review records, asset register</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Busi</w:t>
            </w:r>
            <w:r>
              <w:rPr>
                <w:sz w:val="18"/>
              </w:rPr>
              <w:t>ness Unit Director</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IT Operations Manager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Operate infrastructure security controls and monitoring</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 operational security procedures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Change records, backup reports, monitoring logs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Monthly</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CIO</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 Director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Embed supplier security requirements</w:t>
            </w:r>
            <w:r>
              <w:rPr>
                <w:sz w:val="18"/>
              </w:rPr>
              <w:t xml:space="preserve"> in sourcing</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 supplier onboarding gates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due diligence records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Each sourcing event</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General Counsel</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lastRenderedPageBreak/>
              <w:t>HR Director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Manage awareness, onboarding, disciplinary coordination</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 training plan</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Training completion report, induction evidence</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w:t>
            </w:r>
            <w:r>
              <w:rPr>
                <w:sz w:val="18"/>
              </w:rPr>
              <w:t>terly</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CHRO</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Confirm that named owners have sufficient authority, competence, and resources. Avoid assigning ownership to generic departments without an accountable role.</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RISK MANAGEMENT AND CONTROL FRAMEWORK</w:t>
      </w:r>
    </w:p>
    <w:p w:rsidR="00087C25" w:rsidRDefault="00656190">
      <w:pPr>
        <w:spacing w:after="120" w:line="259" w:lineRule="auto"/>
      </w:pPr>
      <w:r>
        <w:t xml:space="preserve">The organization shall establish and </w:t>
      </w:r>
      <w:r>
        <w:t>maintain an information security risk management process that identifies risks to information assets, assesses likelihood and impact, determines risk levels, selects treatment options, obtains risk owner approval, and monitors treatment progress. Risk asse</w:t>
      </w:r>
      <w:r>
        <w:t>ssment shall consider threats, vulnerabilities, business consequences, legal obligations, existing controls, supplier dependencies, and operational resilience requirements.</w:t>
      </w:r>
    </w:p>
    <w:p w:rsidR="00087C25" w:rsidRDefault="00656190">
      <w:pPr>
        <w:spacing w:after="120" w:line="259" w:lineRule="auto"/>
      </w:pPr>
      <w:r>
        <w:t>Risk treatment shall be aligned with the approved risk acceptance criteria. Treatme</w:t>
      </w:r>
      <w:r>
        <w:t xml:space="preserve">nt options may include risk modification through controls, risk avoidance, risk sharing through contractual or insurance mechanisms, or formal risk acceptance by authorized management. Control selection shall be justified in the Statement of Applicability </w:t>
      </w:r>
      <w:r>
        <w:t>and supported by documented implementation evidence.</w:t>
      </w:r>
    </w:p>
    <w:p w:rsidR="00087C25" w:rsidRDefault="00656190">
      <w:pPr>
        <w:pStyle w:val="ListNumber"/>
        <w:spacing w:after="60" w:line="259" w:lineRule="auto"/>
      </w:pPr>
      <w:r>
        <w:t>Define context, scope, assets, processes, interested party requirements, and risk criteria.</w:t>
      </w:r>
    </w:p>
    <w:p w:rsidR="00087C25" w:rsidRDefault="00656190">
      <w:pPr>
        <w:pStyle w:val="ListNumber"/>
        <w:spacing w:after="60" w:line="259" w:lineRule="auto"/>
      </w:pPr>
      <w:r>
        <w:t>Identify threats, vulnerabilities, control gaps, and business consequences across IT, OT, physical, people, and</w:t>
      </w:r>
      <w:r>
        <w:t xml:space="preserve"> supplier environments.</w:t>
      </w:r>
    </w:p>
    <w:p w:rsidR="00087C25" w:rsidRDefault="00656190">
      <w:pPr>
        <w:pStyle w:val="ListNumber"/>
        <w:spacing w:after="60" w:line="259" w:lineRule="auto"/>
      </w:pPr>
      <w:r>
        <w:t>Assess inherent and residual risks using the approved methodology and business impact criteria.</w:t>
      </w:r>
    </w:p>
    <w:p w:rsidR="00087C25" w:rsidRDefault="00656190">
      <w:pPr>
        <w:pStyle w:val="ListNumber"/>
        <w:spacing w:after="60" w:line="259" w:lineRule="auto"/>
      </w:pPr>
      <w:r>
        <w:t>Select risk treatment actions and assign responsible owners, due dates, evidence requirements, and monitoring metrics.</w:t>
      </w:r>
    </w:p>
    <w:p w:rsidR="00087C25" w:rsidRDefault="00656190">
      <w:pPr>
        <w:pStyle w:val="ListNumber"/>
        <w:spacing w:after="60" w:line="259" w:lineRule="auto"/>
      </w:pPr>
      <w:r>
        <w:t>Approve risk acce</w:t>
      </w:r>
      <w:r>
        <w:t>ptance only when residual risk is within appetite or formally justified by accountable management.</w:t>
      </w:r>
    </w:p>
    <w:p w:rsidR="00087C25" w:rsidRDefault="00656190">
      <w:pPr>
        <w:pStyle w:val="ListNumber"/>
        <w:spacing w:after="60" w:line="259" w:lineRule="auto"/>
      </w:pPr>
      <w:r>
        <w:t>Review risks after significant incidents, changes, audit findings, supplier changes, new technology introduction, site expansion, or regulatory updates.</w:t>
      </w:r>
    </w:p>
    <w:p w:rsidR="004D5560" w:rsidRDefault="004D5560">
      <w:pPr>
        <w:pStyle w:val="Heading3"/>
        <w:spacing w:before="160" w:after="120"/>
        <w:rPr>
          <w:rFonts w:ascii="Cambria" w:eastAsia="Cambria" w:hAnsi="Cambria"/>
        </w:rPr>
      </w:pPr>
    </w:p>
    <w:p w:rsidR="00087C25" w:rsidRDefault="00656190">
      <w:pPr>
        <w:pStyle w:val="Heading3"/>
        <w:spacing w:before="160" w:after="120"/>
      </w:pPr>
      <w:r>
        <w:rPr>
          <w:rFonts w:ascii="Cambria" w:eastAsia="Cambria" w:hAnsi="Cambria"/>
        </w:rPr>
        <w:t>INFO</w:t>
      </w:r>
      <w:r>
        <w:rPr>
          <w:rFonts w:ascii="Cambria" w:eastAsia="Cambria" w:hAnsi="Cambria"/>
        </w:rPr>
        <w:t>RMATION SECURITY RISK REGISTER - BLANK TEMPLATE</w:t>
      </w:r>
    </w:p>
    <w:tbl>
      <w:tblPr>
        <w:tblStyle w:val="TableGrid"/>
        <w:tblW w:w="0" w:type="auto"/>
        <w:jc w:val="center"/>
        <w:tblLook w:val="04A0"/>
      </w:tblPr>
      <w:tblGrid>
        <w:gridCol w:w="1017"/>
        <w:gridCol w:w="2202"/>
        <w:gridCol w:w="1754"/>
        <w:gridCol w:w="1869"/>
        <w:gridCol w:w="1212"/>
        <w:gridCol w:w="2242"/>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ID</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Scenario</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Affected Asset or Process</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Existing Controls</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Residual Risk</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Treatment Action</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087C25">
      <w:pPr>
        <w:spacing w:after="0" w:line="240" w:lineRule="auto"/>
      </w:pPr>
    </w:p>
    <w:p w:rsidR="00087C25" w:rsidRDefault="00656190">
      <w:pPr>
        <w:pStyle w:val="Heading3"/>
        <w:spacing w:before="160" w:after="120"/>
      </w:pPr>
      <w:r>
        <w:rPr>
          <w:rFonts w:ascii="Cambria" w:eastAsia="Cambria" w:hAnsi="Cambria"/>
        </w:rPr>
        <w:t>INFORMATION SECURITY RISK REGISTER - EXAMPLE</w:t>
      </w:r>
    </w:p>
    <w:tbl>
      <w:tblPr>
        <w:tblStyle w:val="TableGrid"/>
        <w:tblW w:w="0" w:type="auto"/>
        <w:jc w:val="center"/>
        <w:tblLook w:val="04A0"/>
      </w:tblPr>
      <w:tblGrid>
        <w:gridCol w:w="971"/>
        <w:gridCol w:w="2255"/>
        <w:gridCol w:w="1804"/>
        <w:gridCol w:w="1887"/>
        <w:gridCol w:w="1182"/>
        <w:gridCol w:w="2197"/>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ID</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 xml:space="preserve">Risk </w:t>
            </w:r>
            <w:r>
              <w:rPr>
                <w:b/>
                <w:sz w:val="18"/>
              </w:rPr>
              <w:t>Scenario</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Affected Asset or Process</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Existing Controls</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Residual Risk</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Treatment Action</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ISR-001</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Unauthorized privileged access to ERP financial posting functions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SAP S/4HANA Finance</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MFA, role-based access, quarterly access review</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Implement automated </w:t>
            </w:r>
            <w:r>
              <w:rPr>
                <w:sz w:val="18"/>
              </w:rPr>
              <w:t>SoD monitoring and daily exception review.</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ISR-002</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Malware disruption of production scheduling at a plant</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Manufacturing scheduling process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EDR, network segmentation, offline backup</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Deploy application allowlisting for production scheduling servers.</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ISR-003</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portal compromise leading to order manipulation</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collaboration portal</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MFA, logging, supplier contract clauses</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Add transaction anomaly monitoring and supplier access recertification.</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ISR-004</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Loss of confidential product form</w:t>
            </w:r>
            <w:r>
              <w:rPr>
                <w:sz w:val="18"/>
              </w:rPr>
              <w:t>ula from engineering repository</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R&amp;D document repository</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DLP, classification labels, restricted groups</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 watermarking and enhanced download approval.</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ISR-005</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Warehouse handheld devices used with outdated operating systems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Warehouse </w:t>
            </w:r>
            <w:r>
              <w:rPr>
                <w:sz w:val="18"/>
              </w:rPr>
              <w:t>operations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Mobile device management, inventory review</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Replace unsupported devices and enforce compliance-based access.</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ISR-006</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Cloud storage misconfiguration exposes internal project files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Cloud collaboration platform</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CASB, admin review, baseline </w:t>
            </w:r>
            <w:r>
              <w:rPr>
                <w:sz w:val="18"/>
              </w:rPr>
              <w:t>configuration</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 automated policy-as-code configuration checks.</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Risk records should connect directly to the Statement of Applicability and risk treatment plan; this traceability is typically tested during certification audits.</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 xml:space="preserve">ASSET </w:t>
      </w:r>
      <w:r>
        <w:rPr>
          <w:rFonts w:ascii="Arial" w:eastAsia="Arial" w:hAnsi="Arial"/>
        </w:rPr>
        <w:t>MANAGEMENT AND INFORMATION CLASSIFICATION</w:t>
      </w:r>
    </w:p>
    <w:p w:rsidR="00087C25" w:rsidRDefault="00656190">
      <w:pPr>
        <w:spacing w:after="120" w:line="259" w:lineRule="auto"/>
      </w:pPr>
      <w:r>
        <w:t>Information assets and supporting assets shall be identified, inventoried, assigned owners, classified, and protected according to business value, sensitivity, criticality, legal requirements, and risk exposure. As</w:t>
      </w:r>
      <w:r>
        <w:t>set inventories shall include information assets, software, hardware, cloud services, network components, OT systems, removable media, physical records, and supplier-managed assets where relevant.</w:t>
      </w:r>
    </w:p>
    <w:p w:rsidR="00087C25" w:rsidRDefault="00656190">
      <w:pPr>
        <w:spacing w:after="120" w:line="259" w:lineRule="auto"/>
      </w:pPr>
      <w:r>
        <w:t>Information shall be classified using a defined classificat</w:t>
      </w:r>
      <w:r>
        <w:t>ion scheme. At minimum, classification shall distinguish public information, internal information, confidential information, and restricted or highly confidential information. Handling rules shall cover marking, storage, transfer, encryption, printing, sha</w:t>
      </w:r>
      <w:r>
        <w:t>ring, retention, backup, destruction, and authorized recipients.</w:t>
      </w:r>
    </w:p>
    <w:p w:rsidR="00087C25" w:rsidRDefault="00656190">
      <w:pPr>
        <w:pStyle w:val="ListBullet"/>
        <w:spacing w:after="60" w:line="259" w:lineRule="auto"/>
      </w:pPr>
      <w:r>
        <w:t>Asset owners shall ensure that assets are classified and protected in accordance with approved handling requirements.</w:t>
      </w:r>
    </w:p>
    <w:p w:rsidR="00087C25" w:rsidRDefault="00656190">
      <w:pPr>
        <w:pStyle w:val="ListBullet"/>
        <w:spacing w:after="60" w:line="259" w:lineRule="auto"/>
      </w:pPr>
      <w:r>
        <w:t>Information shared externally shall be subject to authorization, contract</w:t>
      </w:r>
      <w:r>
        <w:t>ual safeguards, and secure transfer mechanisms appropriate to classification level.</w:t>
      </w:r>
    </w:p>
    <w:p w:rsidR="00087C25" w:rsidRDefault="00656190">
      <w:pPr>
        <w:pStyle w:val="ListBullet"/>
        <w:spacing w:after="60" w:line="259" w:lineRule="auto"/>
      </w:pPr>
      <w:r>
        <w:t>Information shall be retained only for approved business, legal, contractual, or regulatory purposes and destroyed securely at the end of its retention period.</w:t>
      </w:r>
    </w:p>
    <w:p w:rsidR="00087C25" w:rsidRDefault="00656190">
      <w:pPr>
        <w:pStyle w:val="Heading3"/>
        <w:spacing w:before="160" w:after="120"/>
      </w:pPr>
      <w:r>
        <w:rPr>
          <w:rFonts w:ascii="Cambria" w:eastAsia="Cambria" w:hAnsi="Cambria"/>
        </w:rPr>
        <w:lastRenderedPageBreak/>
        <w:t xml:space="preserve">INFORMATION </w:t>
      </w:r>
      <w:r>
        <w:rPr>
          <w:rFonts w:ascii="Cambria" w:eastAsia="Cambria" w:hAnsi="Cambria"/>
        </w:rPr>
        <w:t>ASSET REGISTER - BLANK TEMPLATE</w:t>
      </w:r>
    </w:p>
    <w:tbl>
      <w:tblPr>
        <w:tblStyle w:val="TableGrid"/>
        <w:tblW w:w="0" w:type="auto"/>
        <w:jc w:val="center"/>
        <w:tblLook w:val="04A0"/>
      </w:tblPr>
      <w:tblGrid>
        <w:gridCol w:w="1038"/>
        <w:gridCol w:w="2165"/>
        <w:gridCol w:w="1413"/>
        <w:gridCol w:w="1397"/>
        <w:gridCol w:w="1876"/>
        <w:gridCol w:w="2407"/>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Asset ID</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Information Asset</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Classification</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Location or System</w:t>
            </w:r>
          </w:p>
        </w:tc>
        <w:tc>
          <w:tcPr>
            <w:tcW w:w="273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Minimum Protection Requirement</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INFORMATION ASSET REGISTER - EXAMPLE</w:t>
      </w:r>
    </w:p>
    <w:tbl>
      <w:tblPr>
        <w:tblStyle w:val="TableGrid"/>
        <w:tblW w:w="0" w:type="auto"/>
        <w:jc w:val="center"/>
        <w:tblLook w:val="04A0"/>
      </w:tblPr>
      <w:tblGrid>
        <w:gridCol w:w="1031"/>
        <w:gridCol w:w="2152"/>
        <w:gridCol w:w="1411"/>
        <w:gridCol w:w="1435"/>
        <w:gridCol w:w="1885"/>
        <w:gridCol w:w="2382"/>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Asset ID</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Information Asset</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Classification</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Location or System</w:t>
            </w:r>
          </w:p>
        </w:tc>
        <w:tc>
          <w:tcPr>
            <w:tcW w:w="273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Minimum Protection Requirement</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IA-001</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Global customer master data</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Confidential</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Emily Carter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SAP S/4HANA</w:t>
            </w:r>
          </w:p>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MFA, role-based access, logging, retention control.</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IA-002</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Product formulation documents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Restricted</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Sophie </w:t>
            </w:r>
            <w:r>
              <w:rPr>
                <w:sz w:val="18"/>
              </w:rPr>
              <w:t>Laurent</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Autodesk Vault</w:t>
            </w:r>
          </w:p>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Encrypted storage, restricted groups, download monitoring.</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IA-003</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Employee payroll data</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Restricted</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Oliver Bennett</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Workday and ADP</w:t>
            </w:r>
          </w:p>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Privacy controls, strict access approval, quarterly review.</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IA-004</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Production downtime reports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Intern</w:t>
            </w:r>
            <w:r>
              <w:rPr>
                <w:sz w:val="18"/>
              </w:rPr>
              <w:t>al</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Lukas Schneider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Power BI workspace</w:t>
            </w:r>
          </w:p>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Internal access only and integrity monitoring.</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IA-005</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bank details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Confidential</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Matteo Rossi</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SAP Vendor Master</w:t>
            </w:r>
          </w:p>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Dual approval for changes and payment fraud monitoring.</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IA-006</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Published sustainability brochure</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Public</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Isabella Weber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Corporate website</w:t>
            </w:r>
          </w:p>
        </w:tc>
        <w:tc>
          <w:tcPr>
            <w:tcW w:w="273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Content approval and integrity monitoring.</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Classification labels should be aligned with data loss prevention rules and user training materials to avoid inconsistent handling across sites.</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ACCESS CONTROL AND</w:t>
      </w:r>
      <w:r>
        <w:rPr>
          <w:rFonts w:ascii="Arial" w:eastAsia="Arial" w:hAnsi="Arial"/>
        </w:rPr>
        <w:t xml:space="preserve"> IDENTITY MANAGEMENT</w:t>
      </w:r>
    </w:p>
    <w:p w:rsidR="00087C25" w:rsidRDefault="00656190">
      <w:pPr>
        <w:spacing w:after="120" w:line="259" w:lineRule="auto"/>
      </w:pPr>
      <w:r>
        <w:t>Access to information systems, networks, applications, physical areas, and information assets shall be controlled using formal authorization, unique user identification, strong authentication, least privilege, segregation of duties, an</w:t>
      </w:r>
      <w:r>
        <w:t>d periodic review. Access rights shall be based on business role, employment status, contractual relationship, information classification, and risk level.</w:t>
      </w:r>
    </w:p>
    <w:p w:rsidR="00087C25" w:rsidRDefault="00656190">
      <w:pPr>
        <w:spacing w:after="120" w:line="259" w:lineRule="auto"/>
      </w:pPr>
      <w:r>
        <w:t>Privileged access shall be strictly controlled, approved, logged, monitored, and reviewed. Shared acc</w:t>
      </w:r>
      <w:r>
        <w:t>ounts shall be prohibited unless a documented technical exception exists and compensating controls are approved. Remote access shall use approved secure channels and multi-factor authentication. Access shall be promptly modified or revoked when users chang</w:t>
      </w:r>
      <w:r>
        <w:t>e roles, leave the organization, or no longer require access.</w:t>
      </w:r>
    </w:p>
    <w:p w:rsidR="00087C25" w:rsidRDefault="00656190">
      <w:pPr>
        <w:pStyle w:val="ListBullet"/>
        <w:spacing w:after="60" w:line="259" w:lineRule="auto"/>
      </w:pPr>
      <w:r>
        <w:t>User registration and de-registration shall be approved, documented, and traceable to a valid business request.</w:t>
      </w:r>
    </w:p>
    <w:p w:rsidR="00087C25" w:rsidRDefault="00656190">
      <w:pPr>
        <w:pStyle w:val="ListBullet"/>
        <w:spacing w:after="60" w:line="259" w:lineRule="auto"/>
      </w:pPr>
      <w:r>
        <w:lastRenderedPageBreak/>
        <w:t>Access rights shall be reviewed at planned intervals, with greater frequency for p</w:t>
      </w:r>
      <w:r>
        <w:t>rivileged, financial, production-critical, and restricted data access.</w:t>
      </w:r>
    </w:p>
    <w:p w:rsidR="00087C25" w:rsidRDefault="00656190">
      <w:pPr>
        <w:pStyle w:val="ListBullet"/>
        <w:spacing w:after="60" w:line="259" w:lineRule="auto"/>
      </w:pPr>
      <w:r>
        <w:t>Authentication secrets shall be protected, never shared, and managed in accordance with password, MFA, and credential management requirements.</w:t>
      </w:r>
    </w:p>
    <w:p w:rsidR="00087C25" w:rsidRDefault="00656190">
      <w:pPr>
        <w:pStyle w:val="ListBullet"/>
        <w:spacing w:after="60" w:line="259" w:lineRule="auto"/>
      </w:pPr>
      <w:r>
        <w:t>Service accounts shall have assigned owner</w:t>
      </w:r>
      <w:r>
        <w:t>s, documented purpose, minimum privileges, password or key rotation requirements, and monitoring.</w:t>
      </w:r>
    </w:p>
    <w:p w:rsidR="004D5560" w:rsidRDefault="004D5560">
      <w:pPr>
        <w:pStyle w:val="Heading3"/>
        <w:spacing w:before="160" w:after="120"/>
        <w:rPr>
          <w:rFonts w:ascii="Cambria" w:eastAsia="Cambria" w:hAnsi="Cambria"/>
        </w:rPr>
      </w:pPr>
    </w:p>
    <w:p w:rsidR="00087C25" w:rsidRDefault="00656190">
      <w:pPr>
        <w:pStyle w:val="Heading3"/>
        <w:spacing w:before="160" w:after="120"/>
      </w:pPr>
      <w:r>
        <w:rPr>
          <w:rFonts w:ascii="Cambria" w:eastAsia="Cambria" w:hAnsi="Cambria"/>
        </w:rPr>
        <w:t>ACCESS CONTROL REVIEW LOG - BLANK TEMPLATE</w:t>
      </w:r>
    </w:p>
    <w:tbl>
      <w:tblPr>
        <w:tblStyle w:val="TableGrid"/>
        <w:tblW w:w="0" w:type="auto"/>
        <w:jc w:val="center"/>
        <w:tblLook w:val="04A0"/>
      </w:tblPr>
      <w:tblGrid>
        <w:gridCol w:w="1077"/>
        <w:gridCol w:w="1518"/>
        <w:gridCol w:w="1562"/>
        <w:gridCol w:w="2147"/>
        <w:gridCol w:w="1922"/>
        <w:gridCol w:w="2070"/>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Review ID</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System</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Reviewer</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Access Population</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Exceptions Identified</w:t>
            </w:r>
          </w:p>
        </w:tc>
        <w:tc>
          <w:tcPr>
            <w:tcW w:w="230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Remediation Status</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ACCESS CONTROL REVIEW LOG - EXAMPLE</w:t>
      </w:r>
    </w:p>
    <w:tbl>
      <w:tblPr>
        <w:tblStyle w:val="TableGrid"/>
        <w:tblW w:w="0" w:type="auto"/>
        <w:jc w:val="center"/>
        <w:tblLook w:val="04A0"/>
      </w:tblPr>
      <w:tblGrid>
        <w:gridCol w:w="1072"/>
        <w:gridCol w:w="1550"/>
        <w:gridCol w:w="1550"/>
        <w:gridCol w:w="2164"/>
        <w:gridCol w:w="1906"/>
        <w:gridCol w:w="2054"/>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Review ID</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System</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Reviewer</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Access Population</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Exceptions Identified</w:t>
            </w:r>
          </w:p>
        </w:tc>
        <w:tc>
          <w:tcPr>
            <w:tcW w:w="230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Remediation Status</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ACR-001</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SAP S/4HANA</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Lukas Schneider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Finance posting and vendor master roles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Two dormant privileged accounts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Accounts disabled and SoD rules updated.</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ACR-002</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Salesforce</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Emily Carter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Regional sales users and partner portal users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One external user after contract end</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Access revoked and supplier owner notified.</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ACR-003</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Workday</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Oliver Bennett</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HR administrator roles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No exception</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Evidence retained in GRC repository.</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ACR-004</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Siemens MES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Matteo Rossi</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Plant operator and engineer roles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Three role changes not reflected</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Roles adjusted after plant manager approval.</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ACR-005</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Azure Active Directory</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Isabella Weber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Global </w:t>
            </w:r>
            <w:r>
              <w:rPr>
                <w:sz w:val="18"/>
              </w:rPr>
              <w:t>privileged roles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One emergency admin account without owner</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Owner assigned and PAM onboarding completed.</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ACR-006</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Autodesk Vault</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Sophie Laurent</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Engineering project access groups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Two contractors retained after project close</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Access removed and manager reminde</w:t>
            </w:r>
            <w:r>
              <w:rPr>
                <w:sz w:val="18"/>
              </w:rPr>
              <w:t>d.</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Access review evidence should include population extracted from the source system, reviewer confirmation, exceptions, remediation, and closure approval.</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PHYSICAL, ENVIRONMENTAL, AND OPERATIONAL SECURITY</w:t>
      </w:r>
    </w:p>
    <w:p w:rsidR="00087C25" w:rsidRDefault="00656190">
      <w:pPr>
        <w:spacing w:after="120" w:line="259" w:lineRule="auto"/>
      </w:pPr>
      <w:r>
        <w:t xml:space="preserve">Physical and environmental security </w:t>
      </w:r>
      <w:r>
        <w:t xml:space="preserve">controls shall protect facilities, offices, data centers, warehouses, production areas, network rooms, records storage areas, and other locations where information assets are processed or stored. Access to secure areas shall be authorized, monitored, </w:t>
      </w:r>
      <w:r>
        <w:lastRenderedPageBreak/>
        <w:t>and r</w:t>
      </w:r>
      <w:r>
        <w:t>eviewed based on business need and risk. Visitor access shall be controlled, recorded, supervised where required, and revoked at departure.</w:t>
      </w:r>
    </w:p>
    <w:p w:rsidR="00087C25" w:rsidRDefault="00656190">
      <w:pPr>
        <w:spacing w:after="120" w:line="259" w:lineRule="auto"/>
      </w:pPr>
      <w:r>
        <w:t>Operational security controls shall ensure that information processing facilities operate securely and reliably. Thi</w:t>
      </w:r>
      <w:r>
        <w:t>s includes change management, malware protection, backup, logging and monitoring, capacity management, vulnerability management, configuration management, secure disposal, and protection against data leakage. Manufacturing and operational technology enviro</w:t>
      </w:r>
      <w:r>
        <w:t>nments shall be protected with controls appropriate to safety, availability, and business continuity requirements.</w:t>
      </w:r>
    </w:p>
    <w:p w:rsidR="00087C25" w:rsidRDefault="00656190">
      <w:pPr>
        <w:pStyle w:val="ListBullet"/>
        <w:spacing w:after="60" w:line="259" w:lineRule="auto"/>
      </w:pPr>
      <w:r>
        <w:t xml:space="preserve">Production systems and OT assets shall be segmented from corporate networks where feasible and monitored for unauthorized access or abnormal </w:t>
      </w:r>
      <w:r>
        <w:t>behavior.</w:t>
      </w:r>
    </w:p>
    <w:p w:rsidR="00087C25" w:rsidRDefault="00656190">
      <w:pPr>
        <w:pStyle w:val="ListBullet"/>
        <w:spacing w:after="60" w:line="259" w:lineRule="auto"/>
      </w:pPr>
      <w:r>
        <w:t>Changes to production-critical systems shall be assessed for information security risk, business impact, fallback requirements, and approval before implementation.</w:t>
      </w:r>
    </w:p>
    <w:p w:rsidR="00087C25" w:rsidRDefault="00656190">
      <w:pPr>
        <w:pStyle w:val="ListBullet"/>
        <w:spacing w:after="60" w:line="259" w:lineRule="auto"/>
      </w:pPr>
      <w:r>
        <w:t xml:space="preserve">Backups shall be protected, tested, monitored, and retained according to recovery </w:t>
      </w:r>
      <w:r>
        <w:t>requirements and information classification.</w:t>
      </w:r>
    </w:p>
    <w:p w:rsidR="00087C25" w:rsidRDefault="00656190">
      <w:pPr>
        <w:pStyle w:val="ListBullet"/>
        <w:spacing w:after="60" w:line="259" w:lineRule="auto"/>
      </w:pPr>
      <w:r>
        <w:t>Logs shall be collected and reviewed based on risk, with priority for privileged activity, security events, critical system errors, authentication events, and changes to key configurations.</w:t>
      </w:r>
    </w:p>
    <w:p w:rsidR="00087C25" w:rsidRDefault="00656190">
      <w:pPr>
        <w:pStyle w:val="Heading3"/>
        <w:spacing w:before="160" w:after="120"/>
      </w:pPr>
      <w:r>
        <w:rPr>
          <w:rFonts w:ascii="Cambria" w:eastAsia="Cambria" w:hAnsi="Cambria"/>
        </w:rPr>
        <w:t xml:space="preserve">OPERATIONAL SECURITY </w:t>
      </w:r>
      <w:r>
        <w:rPr>
          <w:rFonts w:ascii="Cambria" w:eastAsia="Cambria" w:hAnsi="Cambria"/>
        </w:rPr>
        <w:t>CONTROL CHECKLIST - BLANK TEMPLATE</w:t>
      </w:r>
    </w:p>
    <w:tbl>
      <w:tblPr>
        <w:tblStyle w:val="TableGrid"/>
        <w:tblW w:w="0" w:type="auto"/>
        <w:jc w:val="center"/>
        <w:tblLook w:val="04A0"/>
      </w:tblPr>
      <w:tblGrid>
        <w:gridCol w:w="1595"/>
        <w:gridCol w:w="2401"/>
        <w:gridCol w:w="1718"/>
        <w:gridCol w:w="1982"/>
        <w:gridCol w:w="1266"/>
        <w:gridCol w:w="1334"/>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Control Area</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Requirement</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Control Owner</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Evidence</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Frequency</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Status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OPERATIONAL SECURITY CONTROL CHECKLIST - EXAMPLE</w:t>
      </w:r>
    </w:p>
    <w:tbl>
      <w:tblPr>
        <w:tblStyle w:val="TableGrid"/>
        <w:tblW w:w="0" w:type="auto"/>
        <w:jc w:val="center"/>
        <w:tblLook w:val="04A0"/>
      </w:tblPr>
      <w:tblGrid>
        <w:gridCol w:w="1628"/>
        <w:gridCol w:w="2316"/>
        <w:gridCol w:w="1748"/>
        <w:gridCol w:w="1955"/>
        <w:gridCol w:w="1251"/>
        <w:gridCol w:w="1398"/>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Control Area</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Requirement</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Control Owner</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Evidence</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Frequency</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Status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Backup</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Critical ERP and MES data backed up and restore tested</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IT Operations Manager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Restore test report and backup dashboard</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Implemented</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Change management</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Security impact assessed for production system changes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Change Advisory Board</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Approved change tickets</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Each change</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Implemented</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Malware protection</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Endpoints and servers protected with EDR</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Security Operations Lead</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EDR coverage report</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Monthly</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Implemented</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Logging</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Privileged activity logged and monitored</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SOC Manager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SIEM use case report</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Daily monitoring</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Implemented</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Vulnerability management</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Critical vulnerabilities remediated within SLA</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Infrastructure Manager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Vulnerability scan and closure records</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Monthly</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 progress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OT segmentation</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Plant control network separated from corporate LAN</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OT </w:t>
            </w:r>
            <w:r>
              <w:rPr>
                <w:sz w:val="18"/>
              </w:rPr>
              <w:t>Security Manager</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Network diagram and firewall rules</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Semi-annually</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Implemented</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For manufacturing sites, confirm that security controls do not create unsafe operational conditions and that OT change approvals include plant engineering stakeholders.</w:t>
      </w:r>
    </w:p>
    <w:p w:rsidR="00087C25" w:rsidRDefault="00656190">
      <w:pPr>
        <w:pStyle w:val="Heading1"/>
        <w:spacing w:before="240" w:after="120"/>
      </w:pPr>
      <w:r>
        <w:rPr>
          <w:rFonts w:ascii="Arial" w:eastAsia="Arial" w:hAnsi="Arial"/>
        </w:rPr>
        <w:lastRenderedPageBreak/>
        <w:t>SUPPLIER, CLOUD, AND THIRD-PARTY SECURITY</w:t>
      </w:r>
    </w:p>
    <w:p w:rsidR="00087C25" w:rsidRDefault="00656190">
      <w:pPr>
        <w:spacing w:after="120" w:line="259" w:lineRule="auto"/>
      </w:pPr>
      <w:r>
        <w:t>Supplier and third-party relationships shall be managed to protect information assets and ensure that external dependencies do not create unacceptable risk. Security requirements shall be considered before supplier</w:t>
      </w:r>
      <w:r>
        <w:t xml:space="preserve"> engagement, included in contracts where applicable, monitored during service delivery, and reviewed at termination. Suppliers shall be assessed according to risk, including the sensitivity of information processed, system access level, service criticality</w:t>
      </w:r>
      <w:r>
        <w:t>, location, subcontracting, and compliance obligations.</w:t>
      </w:r>
    </w:p>
    <w:p w:rsidR="00087C25" w:rsidRDefault="00656190">
      <w:pPr>
        <w:spacing w:after="120" w:line="259" w:lineRule="auto"/>
      </w:pPr>
      <w:r>
        <w:t>Cloud services shall be approved through a documented process that addresses data classification, access control, encryption, logging, data residency, shared responsibility, backup, business continuit</w:t>
      </w:r>
      <w:r>
        <w:t>y, exit arrangements, incident notification, supplier assurance, and compliance requirements. High-risk suppliers and cloud providers shall be subject to enhanced due diligence and periodic reassessment.</w:t>
      </w:r>
    </w:p>
    <w:p w:rsidR="00087C25" w:rsidRDefault="00656190">
      <w:pPr>
        <w:pStyle w:val="ListBullet"/>
        <w:spacing w:after="60" w:line="259" w:lineRule="auto"/>
      </w:pPr>
      <w:r>
        <w:t>Contracts shall include information security obligat</w:t>
      </w:r>
      <w:r>
        <w:t>ions, confidentiality, breach notification, right to audit or assurance reporting, subcontractor controls, data handling, secure return or destruction, and service continuity expectations.</w:t>
      </w:r>
    </w:p>
    <w:p w:rsidR="00087C25" w:rsidRDefault="00656190">
      <w:pPr>
        <w:pStyle w:val="ListBullet"/>
        <w:spacing w:after="60" w:line="259" w:lineRule="auto"/>
      </w:pPr>
      <w:r>
        <w:t>Supplier access shall be limited, monitored, time-bound where feasi</w:t>
      </w:r>
      <w:r>
        <w:t>ble, and removed when no longer required.</w:t>
      </w:r>
    </w:p>
    <w:p w:rsidR="00087C25" w:rsidRDefault="00656190">
      <w:pPr>
        <w:pStyle w:val="ListBullet"/>
        <w:spacing w:after="60" w:line="259" w:lineRule="auto"/>
      </w:pPr>
      <w:r>
        <w:t>Supplier incidents affecting organizational information shall be reported through defined channels and managed as information security incidents.</w:t>
      </w:r>
    </w:p>
    <w:p w:rsidR="00087C25" w:rsidRDefault="00656190">
      <w:pPr>
        <w:pStyle w:val="Heading3"/>
        <w:spacing w:before="160" w:after="120"/>
      </w:pPr>
      <w:r>
        <w:rPr>
          <w:rFonts w:ascii="Cambria" w:eastAsia="Cambria" w:hAnsi="Cambria"/>
        </w:rPr>
        <w:t>SUPPLIER SECURITY ASSESSMENT REGISTER - BLANK TEMPLATE</w:t>
      </w:r>
    </w:p>
    <w:tbl>
      <w:tblPr>
        <w:tblStyle w:val="TableGrid"/>
        <w:tblW w:w="0" w:type="auto"/>
        <w:jc w:val="center"/>
        <w:tblLook w:val="04A0"/>
      </w:tblPr>
      <w:tblGrid>
        <w:gridCol w:w="1553"/>
        <w:gridCol w:w="1790"/>
        <w:gridCol w:w="1956"/>
        <w:gridCol w:w="1179"/>
        <w:gridCol w:w="2150"/>
        <w:gridCol w:w="1668"/>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Supplier</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Serv</w:t>
            </w:r>
            <w:r>
              <w:rPr>
                <w:b/>
                <w:sz w:val="18"/>
              </w:rPr>
              <w:t>ice Provided</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Information Processed</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Rating</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Required Assurance</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Decision</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087C25">
      <w:pPr>
        <w:spacing w:after="0" w:line="240" w:lineRule="auto"/>
      </w:pPr>
    </w:p>
    <w:p w:rsidR="00087C25" w:rsidRDefault="00656190">
      <w:pPr>
        <w:pStyle w:val="Heading3"/>
        <w:spacing w:before="160" w:after="120"/>
      </w:pPr>
      <w:r>
        <w:rPr>
          <w:rFonts w:ascii="Cambria" w:eastAsia="Cambria" w:hAnsi="Cambria"/>
        </w:rPr>
        <w:t>SUPPLIER SECURITY ASSESSMENT REGISTER - EXAMPLE</w:t>
      </w:r>
    </w:p>
    <w:tbl>
      <w:tblPr>
        <w:tblStyle w:val="TableGrid"/>
        <w:tblW w:w="0" w:type="auto"/>
        <w:jc w:val="center"/>
        <w:tblLook w:val="04A0"/>
      </w:tblPr>
      <w:tblGrid>
        <w:gridCol w:w="1525"/>
        <w:gridCol w:w="1842"/>
        <w:gridCol w:w="1936"/>
        <w:gridCol w:w="1180"/>
        <w:gridCol w:w="2145"/>
        <w:gridCol w:w="1668"/>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Supplier</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Service Provided</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Information Processed</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Rating</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Required Assurance</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Decision</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Microsoft</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Cloud productivity and identity services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Email, collaboration files, identity data</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SOC 2 report, ISO certification, DPA, security questionnaire</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Approved with annual review.</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SAP</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ERP platform support</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Finance, procurement, inventory,</w:t>
            </w:r>
            <w:r>
              <w:rPr>
                <w:sz w:val="18"/>
              </w:rPr>
              <w:t xml:space="preserve"> sales data</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ISO certification, contract security clauses, access logs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Approved with privileged access controls.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DHL Supply Chain</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Logistics and shipment operations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Shipment records and customer delivery data</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Security questionnaire and contract </w:t>
            </w:r>
            <w:r>
              <w:rPr>
                <w:sz w:val="18"/>
              </w:rPr>
              <w:t>clauses</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Approved with quarterly access review.</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Siemens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Manufacturing execution system support</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Production orders and equipment data</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Remote access controls, NDA, incident clause</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Approved with monitored access sessions.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Workday</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Human resource </w:t>
            </w:r>
            <w:r>
              <w:rPr>
                <w:sz w:val="18"/>
              </w:rPr>
              <w:t>information system</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Employee personal and compensation </w:t>
            </w:r>
            <w:r>
              <w:rPr>
                <w:sz w:val="18"/>
              </w:rPr>
              <w:lastRenderedPageBreak/>
              <w:t>data</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lastRenderedPageBreak/>
              <w:t>High</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ISO certification, privacy assessment, DPA</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Approved with privacy </w:t>
            </w:r>
            <w:r>
              <w:rPr>
                <w:sz w:val="18"/>
              </w:rPr>
              <w:lastRenderedPageBreak/>
              <w:t>safeguards.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lastRenderedPageBreak/>
              <w:t>Adobe</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Marketing content management</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Public website content and analytics</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Security whitepaper and admin </w:t>
            </w:r>
            <w:r>
              <w:rPr>
                <w:sz w:val="18"/>
              </w:rPr>
              <w:t>access review</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Approved with admin MFA.</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Supplier assurance should be risk-based; do not apply the same questionnaire depth to low-risk public content suppliers and high-risk privileged managed service providers.</w:t>
      </w:r>
    </w:p>
    <w:p w:rsidR="00087C25" w:rsidRDefault="00656190">
      <w:pPr>
        <w:pStyle w:val="Heading1"/>
        <w:spacing w:before="240" w:after="120"/>
      </w:pPr>
      <w:r>
        <w:rPr>
          <w:rFonts w:ascii="Arial" w:eastAsia="Arial" w:hAnsi="Arial"/>
        </w:rPr>
        <w:t xml:space="preserve">INCIDENT MANAGEMENT, BUSINESS </w:t>
      </w:r>
      <w:r>
        <w:rPr>
          <w:rFonts w:ascii="Arial" w:eastAsia="Arial" w:hAnsi="Arial"/>
        </w:rPr>
        <w:t>CONTINUITY, AND RESILIENCE</w:t>
      </w:r>
    </w:p>
    <w:p w:rsidR="00087C25" w:rsidRDefault="00656190">
      <w:pPr>
        <w:spacing w:after="120" w:line="259" w:lineRule="auto"/>
      </w:pPr>
      <w:r>
        <w:t>Information security events and incidents shall be reported, assessed, classified, escalated, responded to, and learned from using a documented incident management process. The organization shall maintain incident response roles,</w:t>
      </w:r>
      <w:r>
        <w:t xml:space="preserve"> communication paths, evidence preservation requirements, decision authorities, legal and regulatory notification processes, and post-incident review activities.</w:t>
      </w:r>
    </w:p>
    <w:p w:rsidR="00087C25" w:rsidRDefault="00656190">
      <w:pPr>
        <w:spacing w:after="120" w:line="259" w:lineRule="auto"/>
      </w:pPr>
      <w:r>
        <w:t>Business continuity and resilience arrangements shall address information security requirement</w:t>
      </w:r>
      <w:r>
        <w:t>s for critical business processes, including manufacturing operations, order fulfillment, logistics, finance, customer service, and critical supplier dependencies. Recovery objectives shall be defined for critical systems and data. Continuity exercises sha</w:t>
      </w:r>
      <w:r>
        <w:t>ll include plausible cyber scenarios such as ransomware, supplier outage, ERP unavailability, plant network disruption, credential compromise, and data leakage.</w:t>
      </w:r>
    </w:p>
    <w:p w:rsidR="00087C25" w:rsidRDefault="00656190">
      <w:pPr>
        <w:pStyle w:val="ListBullet"/>
        <w:spacing w:after="60" w:line="259" w:lineRule="auto"/>
      </w:pPr>
      <w:r>
        <w:t>All users shall report suspected information security incidents immediately through approved ch</w:t>
      </w:r>
      <w:r>
        <w:t>annels.</w:t>
      </w:r>
    </w:p>
    <w:p w:rsidR="00087C25" w:rsidRDefault="00656190">
      <w:pPr>
        <w:pStyle w:val="ListBullet"/>
        <w:spacing w:after="60" w:line="259" w:lineRule="auto"/>
      </w:pPr>
      <w:r>
        <w:t>Incident response shall prioritize safety, containment, evidence preservation, business continuity, legal obligations, and communication control.</w:t>
      </w:r>
    </w:p>
    <w:p w:rsidR="00087C25" w:rsidRDefault="00656190">
      <w:pPr>
        <w:pStyle w:val="ListBullet"/>
        <w:spacing w:after="60" w:line="259" w:lineRule="auto"/>
      </w:pPr>
      <w:r>
        <w:t>Lessons learned shall result in corrective actions, control improvements, training updates, and risk r</w:t>
      </w:r>
      <w:r>
        <w:t>egister updates where appropriate.</w:t>
      </w:r>
    </w:p>
    <w:p w:rsidR="004D5560" w:rsidRDefault="004D5560">
      <w:pPr>
        <w:pStyle w:val="Heading3"/>
        <w:spacing w:before="160" w:after="120"/>
        <w:rPr>
          <w:rFonts w:ascii="Cambria" w:eastAsia="Cambria" w:hAnsi="Cambria"/>
        </w:rPr>
      </w:pPr>
    </w:p>
    <w:p w:rsidR="00087C25" w:rsidRDefault="00656190">
      <w:pPr>
        <w:pStyle w:val="Heading3"/>
        <w:spacing w:before="160" w:after="120"/>
      </w:pPr>
      <w:r>
        <w:rPr>
          <w:rFonts w:ascii="Cambria" w:eastAsia="Cambria" w:hAnsi="Cambria"/>
        </w:rPr>
        <w:t>INCIDENT CLASSIFICATION AND RESPONSE LOG - BLANK TEMPLATE</w:t>
      </w:r>
    </w:p>
    <w:tbl>
      <w:tblPr>
        <w:tblStyle w:val="TableGrid"/>
        <w:tblW w:w="0" w:type="auto"/>
        <w:jc w:val="center"/>
        <w:tblLook w:val="04A0"/>
      </w:tblPr>
      <w:tblGrid>
        <w:gridCol w:w="1102"/>
        <w:gridCol w:w="1677"/>
        <w:gridCol w:w="1561"/>
        <w:gridCol w:w="1100"/>
        <w:gridCol w:w="2272"/>
        <w:gridCol w:w="2584"/>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Incident ID</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Incident Type</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Affected Area</w:t>
            </w:r>
          </w:p>
        </w:tc>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Severity</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Initial Response</w:t>
            </w:r>
          </w:p>
        </w:tc>
        <w:tc>
          <w:tcPr>
            <w:tcW w:w="302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Closure Action</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656190">
      <w:pPr>
        <w:pStyle w:val="Heading3"/>
        <w:spacing w:before="160" w:after="120"/>
      </w:pPr>
      <w:r>
        <w:rPr>
          <w:rFonts w:ascii="Cambria" w:eastAsia="Cambria" w:hAnsi="Cambria"/>
        </w:rPr>
        <w:lastRenderedPageBreak/>
        <w:t xml:space="preserve">INCIDENT CLASSIFICATION AND </w:t>
      </w:r>
      <w:r>
        <w:rPr>
          <w:rFonts w:ascii="Cambria" w:eastAsia="Cambria" w:hAnsi="Cambria"/>
        </w:rPr>
        <w:t>RESPONSE LOG - EXAMPLE</w:t>
      </w:r>
    </w:p>
    <w:tbl>
      <w:tblPr>
        <w:tblStyle w:val="TableGrid"/>
        <w:tblW w:w="0" w:type="auto"/>
        <w:jc w:val="center"/>
        <w:tblLook w:val="04A0"/>
      </w:tblPr>
      <w:tblGrid>
        <w:gridCol w:w="1086"/>
        <w:gridCol w:w="1716"/>
        <w:gridCol w:w="1627"/>
        <w:gridCol w:w="1084"/>
        <w:gridCol w:w="2214"/>
        <w:gridCol w:w="2569"/>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Incident ID</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Incident Type</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Affected Area</w:t>
            </w:r>
          </w:p>
        </w:tc>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Severity</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Initial Response</w:t>
            </w:r>
          </w:p>
        </w:tc>
        <w:tc>
          <w:tcPr>
            <w:tcW w:w="302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Closure Action</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INC-001</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Phishing credential capture</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Sales office</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Disabled account, reset credentials, reviewed mailbox rules</w:t>
            </w:r>
          </w:p>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Enhanced phishing simulation and </w:t>
            </w:r>
            <w:r>
              <w:rPr>
                <w:sz w:val="18"/>
              </w:rPr>
              <w:t>conditional access policy.</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INC-002</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Ransomware attempt blocked by EDR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Warehouse endpoints</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Isolated endpoint, collected forensic image</w:t>
            </w:r>
          </w:p>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Patched vulnerable software and updated EDR rule.</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INC-003</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Unauthorized supplier portal access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 portal</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Revoked user access, reviewed transactions</w:t>
            </w:r>
          </w:p>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account recertification and MFA enforcement.</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INC-004</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Lost laptop with confidential files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Finance department</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Triggered remote wipe and legal assessment</w:t>
            </w:r>
          </w:p>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Confirmed encryption and updated </w:t>
            </w:r>
            <w:r>
              <w:rPr>
                <w:sz w:val="18"/>
              </w:rPr>
              <w:t>travel briefing.</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INC-005</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MES connectivity outage</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Manufacturing plant</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Critical</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Activated plant continuity procedure</w:t>
            </w:r>
          </w:p>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Network segmentation fault corrected and tested.</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INC-006</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Misaddressed email with internal pricing</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Trading division</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Low</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Recipient contacted </w:t>
            </w:r>
            <w:r>
              <w:rPr>
                <w:sz w:val="18"/>
              </w:rPr>
              <w:t>and deletion confirmed</w:t>
            </w:r>
          </w:p>
        </w:tc>
        <w:tc>
          <w:tcPr>
            <w:tcW w:w="302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DLP warning rule tuned for pricing keywords.</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Confirm incident severity criteria against business impact criteria and regulatory notification triggers before finalizing the incident management procedure.</w:t>
      </w:r>
    </w:p>
    <w:p w:rsidR="004D5560" w:rsidRDefault="004D5560">
      <w:pPr>
        <w:pStyle w:val="Heading1"/>
        <w:spacing w:before="240" w:after="120"/>
        <w:rPr>
          <w:rFonts w:ascii="Arial" w:eastAsia="Arial" w:hAnsi="Arial"/>
        </w:rPr>
      </w:pPr>
    </w:p>
    <w:p w:rsidR="00087C25" w:rsidRDefault="00656190">
      <w:pPr>
        <w:pStyle w:val="Heading1"/>
        <w:spacing w:before="240" w:after="120"/>
      </w:pPr>
      <w:r>
        <w:rPr>
          <w:rFonts w:ascii="Arial" w:eastAsia="Arial" w:hAnsi="Arial"/>
        </w:rPr>
        <w:t xml:space="preserve">COMPLIANCE, </w:t>
      </w:r>
      <w:r>
        <w:rPr>
          <w:rFonts w:ascii="Arial" w:eastAsia="Arial" w:hAnsi="Arial"/>
        </w:rPr>
        <w:t>MONITORING, AND CONTINUAL IMPROVEMENT</w:t>
      </w:r>
    </w:p>
    <w:p w:rsidR="00087C25" w:rsidRDefault="00656190">
      <w:pPr>
        <w:spacing w:after="120" w:line="259" w:lineRule="auto"/>
      </w:pPr>
      <w:r>
        <w:t>The organization shall monitor compliance with this policy, applicable legal and contractual requirements, and ISMS control requirements. Monitoring may include security metrics, management reviews, internal audits, ex</w:t>
      </w:r>
      <w:r>
        <w:t>ternal audits, technical compliance reviews, vulnerability assessments, access reviews, supplier reviews, incident analysis, and control testing. Nonconformities shall be recorded, investigated, corrected, and followed through to closure.</w:t>
      </w:r>
    </w:p>
    <w:p w:rsidR="00087C25" w:rsidRDefault="00656190">
      <w:pPr>
        <w:spacing w:after="120" w:line="259" w:lineRule="auto"/>
      </w:pPr>
      <w:r>
        <w:t xml:space="preserve">Continual </w:t>
      </w:r>
      <w:r>
        <w:t>improvement shall be driven by management review outputs, audit findings, risk assessment changes, incidents, control performance, business changes, threat intelligence, technological changes, and feedback from interested parties. Information security obje</w:t>
      </w:r>
      <w:r>
        <w:t>ctives shall be defined, measured, reviewed, and updated as necessary to ensure the ISMS remains effective and aligned with business priorities.</w:t>
      </w:r>
    </w:p>
    <w:p w:rsidR="00087C25" w:rsidRDefault="00656190">
      <w:pPr>
        <w:pStyle w:val="ListBullet"/>
        <w:spacing w:after="60" w:line="259" w:lineRule="auto"/>
      </w:pPr>
      <w:r>
        <w:t>Internal audits shall be planned and performed at defined intervals to provide assurance that the ISMS conforms</w:t>
      </w:r>
      <w:r>
        <w:t xml:space="preserve"> to organizational requirements and ISO/IEC 27001 requirements.</w:t>
      </w:r>
    </w:p>
    <w:p w:rsidR="00087C25" w:rsidRDefault="00656190">
      <w:pPr>
        <w:pStyle w:val="ListBullet"/>
        <w:spacing w:after="60" w:line="259" w:lineRule="auto"/>
      </w:pPr>
      <w:r>
        <w:t>Management review shall evaluate ISMS performance, changes in internal and external issues, risk treatment progress, security objectives, audit results, incidents, nonconformities, opportuniti</w:t>
      </w:r>
      <w:r>
        <w:t>es for improvement, and resource needs.</w:t>
      </w:r>
    </w:p>
    <w:p w:rsidR="00087C25" w:rsidRDefault="00656190">
      <w:pPr>
        <w:pStyle w:val="ListBullet"/>
        <w:spacing w:after="60" w:line="259" w:lineRule="auto"/>
      </w:pPr>
      <w:r>
        <w:t>Corrective actions shall address root causes and be verified for effectiveness before closure.</w:t>
      </w:r>
    </w:p>
    <w:p w:rsidR="004D5560" w:rsidRDefault="004D5560">
      <w:pPr>
        <w:pStyle w:val="Heading3"/>
        <w:spacing w:before="160" w:after="120"/>
        <w:rPr>
          <w:rFonts w:ascii="Cambria" w:eastAsia="Cambria" w:hAnsi="Cambria"/>
        </w:rPr>
      </w:pPr>
    </w:p>
    <w:p w:rsidR="00087C25" w:rsidRDefault="00656190">
      <w:pPr>
        <w:pStyle w:val="Heading3"/>
        <w:spacing w:before="160" w:after="120"/>
      </w:pPr>
      <w:r>
        <w:rPr>
          <w:rFonts w:ascii="Cambria" w:eastAsia="Cambria" w:hAnsi="Cambria"/>
        </w:rPr>
        <w:t>ISMS PERFORMANCE AND COMPLIANCE DASHBOARD - BLANK TEMPLATE</w:t>
      </w:r>
    </w:p>
    <w:tbl>
      <w:tblPr>
        <w:tblStyle w:val="TableGrid"/>
        <w:tblW w:w="0" w:type="auto"/>
        <w:jc w:val="center"/>
        <w:tblLook w:val="04A0"/>
      </w:tblPr>
      <w:tblGrid>
        <w:gridCol w:w="1836"/>
        <w:gridCol w:w="1097"/>
        <w:gridCol w:w="1358"/>
        <w:gridCol w:w="1715"/>
        <w:gridCol w:w="1637"/>
        <w:gridCol w:w="2653"/>
      </w:tblGrid>
      <w:tr w:rsidR="00087C25">
        <w:trPr>
          <w:tblHeader/>
          <w:jc w:val="center"/>
        </w:trPr>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Metric</w:t>
            </w:r>
          </w:p>
        </w:tc>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Target</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Current Result</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Reporting Frequency</w:t>
            </w:r>
          </w:p>
        </w:tc>
        <w:tc>
          <w:tcPr>
            <w:tcW w:w="288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Managem</w:t>
            </w:r>
            <w:r>
              <w:rPr>
                <w:b/>
                <w:sz w:val="18"/>
              </w:rPr>
              <w:t>ent Action</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ISMS PERFORMANCE AND COMPLIANCE DASHBOARD - EXAMPLE</w:t>
      </w:r>
    </w:p>
    <w:tbl>
      <w:tblPr>
        <w:tblStyle w:val="TableGrid"/>
        <w:tblW w:w="0" w:type="auto"/>
        <w:jc w:val="center"/>
        <w:tblLook w:val="04A0"/>
      </w:tblPr>
      <w:tblGrid>
        <w:gridCol w:w="1882"/>
        <w:gridCol w:w="1091"/>
        <w:gridCol w:w="1338"/>
        <w:gridCol w:w="1772"/>
        <w:gridCol w:w="1615"/>
        <w:gridCol w:w="2598"/>
      </w:tblGrid>
      <w:tr w:rsidR="00087C25">
        <w:trPr>
          <w:tblHeader/>
          <w:jc w:val="center"/>
        </w:trPr>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Metric</w:t>
            </w:r>
          </w:p>
        </w:tc>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Target</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Current Result</w:t>
            </w:r>
          </w:p>
        </w:tc>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Reporting Frequency</w:t>
            </w:r>
          </w:p>
        </w:tc>
        <w:tc>
          <w:tcPr>
            <w:tcW w:w="288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Management Action</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Critical vulnerability remediation within SLA</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95 percent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91 percent</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Infrastructure Manager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Monthly</w:t>
            </w:r>
          </w:p>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Add temporary remediation capacity for plant servers.</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Privileged access review completion</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100 percent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100 percent</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CISO</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No action required; retain evidence.</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Security awareness completion</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98 percent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96 percent</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HR </w:t>
            </w:r>
            <w:r>
              <w:rPr>
                <w:sz w:val="18"/>
              </w:rPr>
              <w:t>Director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Escalate overdue completions to department heads.</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high-risk reassessment completion</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100 percent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83 percent</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 Director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Prioritize cloud and managed service providers.</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Incident closure within agreed time</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90 </w:t>
            </w:r>
            <w:r>
              <w:rPr>
                <w:sz w:val="18"/>
              </w:rPr>
              <w:t>percent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88 percent</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SOC Manager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Monthly</w:t>
            </w:r>
          </w:p>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Review delayed forensic evidence process.</w:t>
            </w:r>
          </w:p>
        </w:tc>
      </w:tr>
      <w:tr w:rsidR="00087C25">
        <w:trPr>
          <w:jc w:val="center"/>
        </w:trPr>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Backup restore test success rate</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100 percent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100 percent</w:t>
            </w:r>
          </w:p>
        </w:tc>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IT Operations Manager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w:t>
            </w:r>
          </w:p>
        </w:tc>
        <w:tc>
          <w:tcPr>
            <w:tcW w:w="288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Continue testing across tier-one applications.</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Metrics should be measurable,</w:t>
      </w:r>
      <w:r>
        <w:rPr>
          <w:i/>
          <w:color w:val="C00000"/>
        </w:rPr>
        <w:t xml:space="preserve"> evidence-based, repeatable, and meaningful for management decisions; avoid metrics that cannot be independently validated.</w:t>
      </w:r>
    </w:p>
    <w:p w:rsidR="00087C25" w:rsidRDefault="00656190">
      <w:pPr>
        <w:pStyle w:val="Heading1"/>
        <w:spacing w:before="240" w:after="120"/>
      </w:pPr>
      <w:r>
        <w:rPr>
          <w:rFonts w:ascii="Arial" w:eastAsia="Arial" w:hAnsi="Arial"/>
        </w:rPr>
        <w:t>AWARENESS, TRAINING, AND DISCIPLINARY PROCESS</w:t>
      </w:r>
    </w:p>
    <w:p w:rsidR="00087C25" w:rsidRDefault="00656190">
      <w:pPr>
        <w:spacing w:after="120" w:line="259" w:lineRule="auto"/>
      </w:pPr>
      <w:r>
        <w:t xml:space="preserve">All personnel shall receive information security awareness appropriate to their role, </w:t>
      </w:r>
      <w:r>
        <w:t>responsibilities, access privileges, and exposure to information security risks. Awareness shall be provided during onboarding and refreshed at planned intervals. Role-based training shall be provided for users with elevated responsibilities, including adm</w:t>
      </w:r>
      <w:r>
        <w:t>inistrators, developers, engineers, procurement personnel, HR personnel, finance personnel, plant operators, and incident response team members.</w:t>
      </w:r>
    </w:p>
    <w:p w:rsidR="00087C25" w:rsidRDefault="00656190">
      <w:pPr>
        <w:spacing w:after="120" w:line="259" w:lineRule="auto"/>
      </w:pPr>
      <w:r>
        <w:t>Users shall understand acceptable use, phishing risks, password and MFA expectations, incident reporting, infor</w:t>
      </w:r>
      <w:r>
        <w:t>mation classification, clean desk and clear screen practices, secure remote work, supplier information handling, privacy obligations, and consequences of noncompliance. Disciplinary processes for policy violations shall be aligned with HR procedures, contr</w:t>
      </w:r>
      <w:r>
        <w:t>actual requirements, legal obligations, and severity of the violation.</w:t>
      </w:r>
    </w:p>
    <w:p w:rsidR="00087C25" w:rsidRDefault="00656190">
      <w:pPr>
        <w:pStyle w:val="ListBullet"/>
        <w:spacing w:after="60" w:line="259" w:lineRule="auto"/>
      </w:pPr>
      <w:r>
        <w:t>Training completion shall be tracked and reported to management.</w:t>
      </w:r>
    </w:p>
    <w:p w:rsidR="00087C25" w:rsidRDefault="00656190">
      <w:pPr>
        <w:pStyle w:val="ListBullet"/>
        <w:spacing w:after="60" w:line="259" w:lineRule="auto"/>
      </w:pPr>
      <w:r>
        <w:t>Awareness materials shall be updated following incidents, significant changes, audit findings, or emerging threats.</w:t>
      </w:r>
    </w:p>
    <w:p w:rsidR="00087C25" w:rsidRDefault="00656190">
      <w:pPr>
        <w:pStyle w:val="ListBullet"/>
        <w:spacing w:after="60" w:line="259" w:lineRule="auto"/>
      </w:pPr>
      <w:r>
        <w:t>Priv</w:t>
      </w:r>
      <w:r>
        <w:t>ileged users and users with access to restricted information shall receive enhanced training.</w:t>
      </w:r>
    </w:p>
    <w:p w:rsidR="00087C25" w:rsidRDefault="00656190">
      <w:pPr>
        <w:pStyle w:val="Heading3"/>
        <w:spacing w:before="160" w:after="120"/>
      </w:pPr>
      <w:r>
        <w:rPr>
          <w:rFonts w:ascii="Cambria" w:eastAsia="Cambria" w:hAnsi="Cambria"/>
        </w:rPr>
        <w:lastRenderedPageBreak/>
        <w:t>SECURITY AWARENESS TRAINING PLAN - BLANK TEMPLATE</w:t>
      </w:r>
    </w:p>
    <w:tbl>
      <w:tblPr>
        <w:tblStyle w:val="TableGrid"/>
        <w:tblW w:w="0" w:type="auto"/>
        <w:jc w:val="center"/>
        <w:tblLook w:val="04A0"/>
      </w:tblPr>
      <w:tblGrid>
        <w:gridCol w:w="1493"/>
        <w:gridCol w:w="2218"/>
        <w:gridCol w:w="1483"/>
        <w:gridCol w:w="1265"/>
        <w:gridCol w:w="1583"/>
        <w:gridCol w:w="2254"/>
      </w:tblGrid>
      <w:tr w:rsidR="00087C25">
        <w:trPr>
          <w:tblHeader/>
          <w:jc w:val="center"/>
        </w:trPr>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Audience</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Training Topic</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Delivery Method</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Frequency</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Completion Evidence</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SECURITY AWARENESS TRAINING PLAN - EXAMPLE</w:t>
      </w:r>
    </w:p>
    <w:tbl>
      <w:tblPr>
        <w:tblStyle w:val="TableGrid"/>
        <w:tblW w:w="0" w:type="auto"/>
        <w:jc w:val="center"/>
        <w:tblLook w:val="04A0"/>
      </w:tblPr>
      <w:tblGrid>
        <w:gridCol w:w="1539"/>
        <w:gridCol w:w="2204"/>
        <w:gridCol w:w="1476"/>
        <w:gridCol w:w="1254"/>
        <w:gridCol w:w="1626"/>
        <w:gridCol w:w="2197"/>
      </w:tblGrid>
      <w:tr w:rsidR="00087C25">
        <w:trPr>
          <w:tblHeader/>
          <w:jc w:val="center"/>
        </w:trPr>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Audience</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Training Topic</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Delivery Method</w:t>
            </w:r>
          </w:p>
        </w:tc>
        <w:tc>
          <w:tcPr>
            <w:tcW w:w="129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Frequency</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Completion Evidence</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All employees</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Information security policy and acceptable use</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E-learning module</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Annual</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HR Director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Learning management </w:t>
            </w:r>
            <w:r>
              <w:rPr>
                <w:sz w:val="18"/>
              </w:rPr>
              <w:t>report.</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Finance users</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Payment fraud and vendor master change controls</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Workshop</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Annual</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Finance Controller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Attendance record and quiz results.</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Plant operators</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OT cyber hygiene and incident reporting</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On-site briefing</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Semi-annual</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Plant Manager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Signed </w:t>
            </w:r>
            <w:r>
              <w:rPr>
                <w:sz w:val="18"/>
              </w:rPr>
              <w:t>attendance sheet.</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System administrators</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Privileged access and secure configuration</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Instructor-led training</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Annual</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IT Operations Manager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Training certificate.</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 team</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security due diligence</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Webinar</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Annual</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 Director</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Completion </w:t>
            </w:r>
            <w:r>
              <w:rPr>
                <w:sz w:val="18"/>
              </w:rPr>
              <w:t>report.</w:t>
            </w:r>
          </w:p>
        </w:tc>
      </w:tr>
      <w:tr w:rsidR="00087C25">
        <w:trPr>
          <w:jc w:val="center"/>
        </w:trPr>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Executives</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Cyber risk governance and crisis decision-making</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Tabletop exercise</w:t>
            </w:r>
          </w:p>
        </w:tc>
        <w:tc>
          <w:tcPr>
            <w:tcW w:w="129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Annual</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CISO</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Exercise report and actions.</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 xml:space="preserve">Role-based training should reflect actual risk exposure. For example, plant operators require practical OT reporting </w:t>
      </w:r>
      <w:r>
        <w:rPr>
          <w:i/>
          <w:color w:val="C00000"/>
        </w:rPr>
        <w:t>guidance rather than generic office-only training.</w:t>
      </w:r>
    </w:p>
    <w:p w:rsidR="00087C25" w:rsidRDefault="00656190">
      <w:pPr>
        <w:pStyle w:val="Heading1"/>
        <w:spacing w:before="240" w:after="120"/>
      </w:pPr>
      <w:r>
        <w:rPr>
          <w:rFonts w:ascii="Arial" w:eastAsia="Arial" w:hAnsi="Arial"/>
        </w:rPr>
        <w:t>POLICY EXCEPTIONS AND WAIVERS</w:t>
      </w:r>
    </w:p>
    <w:p w:rsidR="00087C25" w:rsidRDefault="00656190">
      <w:pPr>
        <w:spacing w:after="120" w:line="259" w:lineRule="auto"/>
      </w:pPr>
      <w:r>
        <w:t>Exceptions to this policy shall be formally requested, justified, risk assessed, time-bound, approved by authorized management, and monitored until closure. Exceptions shall n</w:t>
      </w:r>
      <w:r>
        <w:t>ot be used to avoid mandatory legal, regulatory, or contractual obligations unless reviewed and approved by legal counsel and executive management. Compensating controls shall be defined where full compliance cannot be achieved immediately.</w:t>
      </w:r>
    </w:p>
    <w:p w:rsidR="00087C25" w:rsidRDefault="00656190">
      <w:pPr>
        <w:pStyle w:val="ListBullet"/>
        <w:spacing w:after="60" w:line="259" w:lineRule="auto"/>
      </w:pPr>
      <w:r>
        <w:t xml:space="preserve">Each exception </w:t>
      </w:r>
      <w:r>
        <w:t>request shall identify the policy requirement, business justification, risk scenario, affected assets, duration, compensating controls, owner, review date, and approval authority.</w:t>
      </w:r>
    </w:p>
    <w:p w:rsidR="00087C25" w:rsidRDefault="00656190">
      <w:pPr>
        <w:pStyle w:val="ListBullet"/>
        <w:spacing w:after="60" w:line="259" w:lineRule="auto"/>
      </w:pPr>
      <w:r>
        <w:t>Expired exceptions shall be closed, renewed through formal approval, or esca</w:t>
      </w:r>
      <w:r>
        <w:t>lated as nonconformities.</w:t>
      </w:r>
    </w:p>
    <w:p w:rsidR="00087C25" w:rsidRDefault="00656190">
      <w:pPr>
        <w:pStyle w:val="ListBullet"/>
        <w:spacing w:after="60" w:line="259" w:lineRule="auto"/>
      </w:pPr>
      <w:r>
        <w:t>High-risk exceptions shall be reported to the ISMS Steering Committee or equivalent governance body.</w:t>
      </w:r>
    </w:p>
    <w:p w:rsidR="00087C25" w:rsidRDefault="00656190">
      <w:pPr>
        <w:pStyle w:val="Heading3"/>
        <w:spacing w:before="160" w:after="120"/>
      </w:pPr>
      <w:r>
        <w:rPr>
          <w:rFonts w:ascii="Cambria" w:eastAsia="Cambria" w:hAnsi="Cambria"/>
        </w:rPr>
        <w:t>POLICY EXCEPTION REGISTER - BLANK TEMPLATE</w:t>
      </w:r>
    </w:p>
    <w:tbl>
      <w:tblPr>
        <w:tblStyle w:val="TableGrid"/>
        <w:tblW w:w="0" w:type="auto"/>
        <w:jc w:val="center"/>
        <w:tblLook w:val="04A0"/>
      </w:tblPr>
      <w:tblGrid>
        <w:gridCol w:w="1142"/>
        <w:gridCol w:w="2088"/>
        <w:gridCol w:w="2213"/>
        <w:gridCol w:w="1110"/>
        <w:gridCol w:w="2360"/>
        <w:gridCol w:w="1383"/>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Exception ID</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Policy Requirement</w:t>
            </w:r>
          </w:p>
        </w:tc>
        <w:tc>
          <w:tcPr>
            <w:tcW w:w="230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Business Justification</w:t>
            </w:r>
          </w:p>
        </w:tc>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Level</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Compensating Control</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Expiry Date</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POLICY EXCEPTION REGISTER - EXAMPLE</w:t>
      </w:r>
    </w:p>
    <w:tbl>
      <w:tblPr>
        <w:tblStyle w:val="TableGrid"/>
        <w:tblW w:w="0" w:type="auto"/>
        <w:jc w:val="center"/>
        <w:tblLook w:val="04A0"/>
      </w:tblPr>
      <w:tblGrid>
        <w:gridCol w:w="1143"/>
        <w:gridCol w:w="2085"/>
        <w:gridCol w:w="2208"/>
        <w:gridCol w:w="1125"/>
        <w:gridCol w:w="2355"/>
        <w:gridCol w:w="1380"/>
      </w:tblGrid>
      <w:tr w:rsidR="00087C25">
        <w:trPr>
          <w:tblHeader/>
          <w:jc w:val="center"/>
        </w:trPr>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Exception ID</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Policy Requirement</w:t>
            </w:r>
          </w:p>
        </w:tc>
        <w:tc>
          <w:tcPr>
            <w:tcW w:w="230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Business Justification</w:t>
            </w:r>
          </w:p>
        </w:tc>
        <w:tc>
          <w:tcPr>
            <w:tcW w:w="115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Risk Level</w:t>
            </w:r>
          </w:p>
        </w:tc>
        <w:tc>
          <w:tcPr>
            <w:tcW w:w="244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Compensating Control</w:t>
            </w:r>
          </w:p>
        </w:tc>
        <w:tc>
          <w:tcPr>
            <w:tcW w:w="144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Expiry Date</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EX-001</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MFA required for all remote supplier access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Legacy </w:t>
            </w:r>
            <w:r>
              <w:rPr>
                <w:sz w:val="18"/>
              </w:rPr>
              <w:t>support tool not MFA-capable during migration</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VPN restricted by IP, monitored sessions, weekly access review</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2026-06-30</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EX-002</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Unsupported operating systems prohibited</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Warehouse scanners pending replacement cycle</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Network isolation and limited </w:t>
            </w:r>
            <w:r>
              <w:rPr>
                <w:sz w:val="18"/>
              </w:rPr>
              <w:t>application access</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2026-04-30</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EX-003</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Encryption required for confidential file transfer</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Customer mandates temporary SFTP gateway</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Dedicated gateway, restricted accounts, transfer logging</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2026-05-31</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EX-004</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Quarterly access review for critical system</w:t>
            </w:r>
            <w:r>
              <w:rPr>
                <w:sz w:val="18"/>
              </w:rPr>
              <w:t>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Newly acquired plant not integrated into IAM</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High</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Manual plant manager review and CISO oversight</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2026-07-31</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EX-005</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No shared accounts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Vendor application supports only one admin account</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Medium</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Password vault checkout and session recording</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2026-03-31</w:t>
            </w:r>
          </w:p>
        </w:tc>
      </w:tr>
      <w:tr w:rsidR="00087C25">
        <w:trPr>
          <w:jc w:val="center"/>
        </w:trPr>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EX-006</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Central logging required for all servers</w:t>
            </w:r>
          </w:p>
        </w:tc>
        <w:tc>
          <w:tcPr>
            <w:tcW w:w="230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Isolated lab server used for prototype testing</w:t>
            </w:r>
          </w:p>
        </w:tc>
        <w:tc>
          <w:tcPr>
            <w:tcW w:w="115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Low</w:t>
            </w:r>
          </w:p>
        </w:tc>
        <w:tc>
          <w:tcPr>
            <w:tcW w:w="244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Local log retention and monthly review</w:t>
            </w:r>
          </w:p>
        </w:tc>
        <w:tc>
          <w:tcPr>
            <w:tcW w:w="144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2026-02-28</w:t>
            </w:r>
          </w:p>
        </w:tc>
      </w:tr>
    </w:tbl>
    <w:p w:rsidR="00087C25" w:rsidRDefault="00087C25">
      <w:pPr>
        <w:spacing w:after="80" w:line="259" w:lineRule="auto"/>
      </w:pPr>
    </w:p>
    <w:p w:rsidR="00087C25" w:rsidRDefault="00656190">
      <w:pPr>
        <w:keepLines/>
        <w:spacing w:before="60" w:after="160"/>
      </w:pPr>
      <w:r>
        <w:rPr>
          <w:b/>
          <w:i/>
          <w:color w:val="C00000"/>
        </w:rPr>
        <w:t xml:space="preserve">[Note] </w:t>
      </w:r>
      <w:r>
        <w:rPr>
          <w:i/>
          <w:color w:val="C00000"/>
        </w:rPr>
        <w:t xml:space="preserve">Exception registers are frequently reviewed by auditors. Ensure that each exception has a clear </w:t>
      </w:r>
      <w:r>
        <w:rPr>
          <w:i/>
          <w:color w:val="C00000"/>
        </w:rPr>
        <w:t>expiry date, approval, compensating control, and closure evidence.</w:t>
      </w:r>
    </w:p>
    <w:p w:rsidR="00087C25" w:rsidRDefault="00656190">
      <w:pPr>
        <w:pStyle w:val="Heading1"/>
        <w:spacing w:before="240" w:after="120"/>
      </w:pPr>
      <w:r>
        <w:rPr>
          <w:rFonts w:ascii="Arial" w:eastAsia="Arial" w:hAnsi="Arial"/>
        </w:rPr>
        <w:t>RECORDS, EVIDENCE, AND RETENTION</w:t>
      </w:r>
    </w:p>
    <w:p w:rsidR="00087C25" w:rsidRDefault="00656190">
      <w:pPr>
        <w:spacing w:after="120" w:line="259" w:lineRule="auto"/>
      </w:pPr>
      <w:r>
        <w:t xml:space="preserve">Records required to demonstrate conformity with this policy and the ISMS shall be controlled, protected, retained, and disposed of in accordance with </w:t>
      </w:r>
      <w:r>
        <w:t>records management requirements. Evidence shall be complete, accurate, timely, attributable, legible, and retrievable. Records may include risk assessments, Statement of Applicability approvals, management review minutes, audit reports, access reviews, inc</w:t>
      </w:r>
      <w:r>
        <w:t>ident records, training records, supplier assessments, vulnerability reports, backup test records, change approvals, exception approvals, and corrective action records.</w:t>
      </w:r>
    </w:p>
    <w:p w:rsidR="00087C25" w:rsidRDefault="00656190">
      <w:pPr>
        <w:spacing w:after="120" w:line="259" w:lineRule="auto"/>
      </w:pPr>
      <w:r>
        <w:t xml:space="preserve">Retention periods shall be defined based on legal, regulatory, contractual, audit, and </w:t>
      </w:r>
      <w:r>
        <w:t>business requirements. Records containing personal data, confidential data, or restricted data shall be protected according to classification and privacy requirements.</w:t>
      </w:r>
    </w:p>
    <w:p w:rsidR="00087C25" w:rsidRDefault="00656190">
      <w:pPr>
        <w:pStyle w:val="Heading3"/>
        <w:spacing w:before="160" w:after="120"/>
      </w:pPr>
      <w:r>
        <w:rPr>
          <w:rFonts w:ascii="Cambria" w:eastAsia="Cambria" w:hAnsi="Cambria"/>
        </w:rPr>
        <w:t>ISMS RECORDS RETENTION SCHEDULE - BLANK TEMPLATE</w:t>
      </w:r>
    </w:p>
    <w:tbl>
      <w:tblPr>
        <w:tblStyle w:val="TableGrid"/>
        <w:tblW w:w="0" w:type="auto"/>
        <w:jc w:val="center"/>
        <w:tblLook w:val="04A0"/>
      </w:tblPr>
      <w:tblGrid>
        <w:gridCol w:w="1689"/>
        <w:gridCol w:w="1564"/>
        <w:gridCol w:w="1489"/>
        <w:gridCol w:w="1830"/>
        <w:gridCol w:w="1895"/>
        <w:gridCol w:w="1829"/>
      </w:tblGrid>
      <w:tr w:rsidR="00087C25">
        <w:trPr>
          <w:tblHeader/>
          <w:jc w:val="center"/>
        </w:trPr>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Record Type</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Minimum Retention</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Sto</w:t>
            </w:r>
            <w:r>
              <w:rPr>
                <w:b/>
                <w:sz w:val="18"/>
              </w:rPr>
              <w:t>rage Location</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Protection Requirement</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Disposal Method</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656190">
      <w:pPr>
        <w:pStyle w:val="Heading3"/>
        <w:spacing w:before="160" w:after="120"/>
      </w:pPr>
      <w:r>
        <w:rPr>
          <w:rFonts w:ascii="Cambria" w:eastAsia="Cambria" w:hAnsi="Cambria"/>
        </w:rPr>
        <w:t>ISMS RECORDS RETENTION SCHEDULE - EXAMPLE</w:t>
      </w:r>
    </w:p>
    <w:tbl>
      <w:tblPr>
        <w:tblStyle w:val="TableGrid"/>
        <w:tblW w:w="0" w:type="auto"/>
        <w:jc w:val="center"/>
        <w:tblLook w:val="04A0"/>
      </w:tblPr>
      <w:tblGrid>
        <w:gridCol w:w="1724"/>
        <w:gridCol w:w="1616"/>
        <w:gridCol w:w="1460"/>
        <w:gridCol w:w="1836"/>
        <w:gridCol w:w="1857"/>
        <w:gridCol w:w="1803"/>
      </w:tblGrid>
      <w:tr w:rsidR="00087C25">
        <w:trPr>
          <w:tblHeader/>
          <w:jc w:val="center"/>
        </w:trPr>
        <w:tc>
          <w:tcPr>
            <w:tcW w:w="187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Record Type</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Owner</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Minimum Retention</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Storage Location</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Protection Requirement</w:t>
            </w:r>
          </w:p>
        </w:tc>
        <w:tc>
          <w:tcPr>
            <w:tcW w:w="2016"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Disposal Method</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Risk assessment </w:t>
            </w:r>
            <w:r>
              <w:rPr>
                <w:sz w:val="18"/>
              </w:rPr>
              <w:t>records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CISO</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Current year plus 3 years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GRC repository</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Restricted access and audit trail</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Secure deletion after approval.</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Access review evidence</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System owner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Current year plus 2 years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Identity governance platform</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Confidential access logs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Automated retention</w:t>
            </w:r>
            <w:r>
              <w:rPr>
                <w:sz w:val="18"/>
              </w:rPr>
              <w:t xml:space="preserve"> purge.</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Incident records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SOC Manager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Current year plus 5 years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Incident management system</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Restricted and legal hold capable</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Legal-approved secure deletion.</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assessments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 Director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Contract term plus 3 years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Supplier management system</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Confidential contract records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Secure deletion or archive.</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Training records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HR Director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Current year plus 3 years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Learning management system</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Personal data protection</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Retention workflow purge.</w:t>
            </w:r>
          </w:p>
        </w:tc>
      </w:tr>
      <w:tr w:rsidR="00087C25">
        <w:trPr>
          <w:jc w:val="center"/>
        </w:trPr>
        <w:tc>
          <w:tcPr>
            <w:tcW w:w="187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Management review minutes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CISO</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Current year plus 5 years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ISMS </w:t>
            </w:r>
            <w:r>
              <w:rPr>
                <w:sz w:val="18"/>
              </w:rPr>
              <w:t>controlled folder</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Restricted management access</w:t>
            </w:r>
          </w:p>
        </w:tc>
        <w:tc>
          <w:tcPr>
            <w:tcW w:w="2016"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Archive then secure deletion.</w:t>
            </w:r>
          </w:p>
        </w:tc>
      </w:tr>
    </w:tbl>
    <w:p w:rsidR="00087C25" w:rsidRDefault="00087C25">
      <w:pPr>
        <w:spacing w:after="80" w:line="259" w:lineRule="auto"/>
      </w:pPr>
    </w:p>
    <w:p w:rsidR="00087C25" w:rsidRDefault="00656190">
      <w:pPr>
        <w:pStyle w:val="Heading1"/>
        <w:spacing w:before="240" w:after="120"/>
      </w:pPr>
      <w:r>
        <w:rPr>
          <w:rFonts w:ascii="Arial" w:eastAsia="Arial" w:hAnsi="Arial"/>
        </w:rPr>
        <w:t>APPENDICES AND WORKING TEMPLATES</w:t>
      </w:r>
    </w:p>
    <w:p w:rsidR="00087C25" w:rsidRDefault="00656190">
      <w:pPr>
        <w:spacing w:after="120" w:line="259" w:lineRule="auto"/>
      </w:pPr>
      <w:r>
        <w:t>The following working templates support implementation of this policy. They may be maintained as separate controlled records within the ISMS rep</w:t>
      </w:r>
      <w:r>
        <w:t>ository or embedded in local procedures. Each template shall have an accountable owner, version control, approval status, and defined retention requirement.</w:t>
      </w:r>
    </w:p>
    <w:p w:rsidR="00087C25" w:rsidRDefault="00656190">
      <w:pPr>
        <w:pStyle w:val="Heading3"/>
        <w:spacing w:before="160" w:after="120"/>
      </w:pPr>
      <w:r>
        <w:rPr>
          <w:rFonts w:ascii="Cambria" w:eastAsia="Cambria" w:hAnsi="Cambria"/>
        </w:rPr>
        <w:t>POLICY ACKNOWLEDGEMENT REGISTER - BLANK TEMPLATE</w:t>
      </w:r>
    </w:p>
    <w:tbl>
      <w:tblPr>
        <w:tblStyle w:val="TableGrid"/>
        <w:tblW w:w="0" w:type="auto"/>
        <w:jc w:val="center"/>
        <w:tblLook w:val="04A0"/>
      </w:tblPr>
      <w:tblGrid>
        <w:gridCol w:w="1530"/>
        <w:gridCol w:w="1584"/>
        <w:gridCol w:w="1810"/>
        <w:gridCol w:w="1757"/>
        <w:gridCol w:w="1449"/>
        <w:gridCol w:w="2166"/>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Employee Name</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Department</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Location</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 xml:space="preserve">Acknowledgement </w:t>
            </w:r>
            <w:r>
              <w:rPr>
                <w:b/>
                <w:sz w:val="18"/>
              </w:rPr>
              <w:t>Date</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Training Completed</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Comments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087C25"/>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087C25"/>
        </w:tc>
      </w:tr>
    </w:tbl>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087C25">
      <w:pPr>
        <w:spacing w:after="0" w:line="240" w:lineRule="auto"/>
      </w:pPr>
    </w:p>
    <w:p w:rsidR="00087C25" w:rsidRDefault="00656190">
      <w:pPr>
        <w:pStyle w:val="Heading3"/>
        <w:spacing w:before="160" w:after="120"/>
      </w:pPr>
      <w:r>
        <w:rPr>
          <w:rFonts w:ascii="Cambria" w:eastAsia="Cambria" w:hAnsi="Cambria"/>
        </w:rPr>
        <w:t>POLICY ACKNOWLEDGEMENT REGISTER - EXAMPLE</w:t>
      </w:r>
    </w:p>
    <w:tbl>
      <w:tblPr>
        <w:tblStyle w:val="TableGrid"/>
        <w:tblW w:w="0" w:type="auto"/>
        <w:jc w:val="center"/>
        <w:tblLook w:val="04A0"/>
      </w:tblPr>
      <w:tblGrid>
        <w:gridCol w:w="1477"/>
        <w:gridCol w:w="1590"/>
        <w:gridCol w:w="1804"/>
        <w:gridCol w:w="1757"/>
        <w:gridCol w:w="1412"/>
        <w:gridCol w:w="2256"/>
      </w:tblGrid>
      <w:tr w:rsidR="00087C25">
        <w:trPr>
          <w:tblHeader/>
          <w:jc w:val="center"/>
        </w:trPr>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Employee Name</w:t>
            </w:r>
          </w:p>
        </w:tc>
        <w:tc>
          <w:tcPr>
            <w:tcW w:w="1728"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Department</w:t>
            </w:r>
          </w:p>
        </w:tc>
        <w:tc>
          <w:tcPr>
            <w:tcW w:w="2160"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Location</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Acknowledgement Date</w:t>
            </w:r>
          </w:p>
        </w:tc>
        <w:tc>
          <w:tcPr>
            <w:tcW w:w="158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Training Completed</w:t>
            </w:r>
          </w:p>
        </w:tc>
        <w:tc>
          <w:tcPr>
            <w:tcW w:w="2592"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87C25" w:rsidRDefault="00656190">
            <w:r>
              <w:rPr>
                <w:b/>
                <w:sz w:val="18"/>
              </w:rPr>
              <w:t>Comments</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Anna Müller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Finance</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Frankfurt Trading </w:t>
            </w:r>
            <w:r>
              <w:rPr>
                <w:sz w:val="18"/>
              </w:rPr>
              <w:lastRenderedPageBreak/>
              <w:t>Office</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lastRenderedPageBreak/>
              <w:t>2026-01-15</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Completed annual policy </w:t>
            </w:r>
            <w:r>
              <w:rPr>
                <w:sz w:val="18"/>
              </w:rPr>
              <w:lastRenderedPageBreak/>
              <w:t>acknowledgement.</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lastRenderedPageBreak/>
              <w:t>James Wilson</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Manufacturing</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Birmingham Plant</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2026-01-16</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Completed plant cyber hygiene module.</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Claire Dubois</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Procurement</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Paris Shared Service Center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2026-01-17</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 xml:space="preserve">Completed supplier security </w:t>
            </w:r>
            <w:r>
              <w:rPr>
                <w:sz w:val="18"/>
              </w:rPr>
              <w:t>module.</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Marco Bianchi</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Warehouse</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Milan Distribution Center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2026-01-18</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Completed acceptable use briefing.</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Sofia Andersen</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Engineering</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Copenhagen R&amp;D Center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2026-01-19</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Completed restricted data handling course.</w:t>
            </w:r>
          </w:p>
        </w:tc>
      </w:tr>
      <w:tr w:rsidR="00087C25">
        <w:trPr>
          <w:jc w:val="center"/>
        </w:trPr>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Thomas Becker</w:t>
            </w:r>
          </w:p>
        </w:tc>
        <w:tc>
          <w:tcPr>
            <w:tcW w:w="1728"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IT Operations</w:t>
            </w:r>
          </w:p>
        </w:tc>
        <w:tc>
          <w:tcPr>
            <w:tcW w:w="2160"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Munich Dat</w:t>
            </w:r>
            <w:r>
              <w:rPr>
                <w:sz w:val="18"/>
              </w:rPr>
              <w:t>a Center</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2026-01-20</w:t>
            </w:r>
          </w:p>
        </w:tc>
        <w:tc>
          <w:tcPr>
            <w:tcW w:w="1584"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Yes</w:t>
            </w:r>
          </w:p>
        </w:tc>
        <w:tc>
          <w:tcPr>
            <w:tcW w:w="2592" w:type="dxa"/>
            <w:tcBorders>
              <w:top w:val="single" w:sz="8" w:space="0" w:color="1F4E79"/>
              <w:left w:val="single" w:sz="8" w:space="0" w:color="1F4E79"/>
              <w:bottom w:val="single" w:sz="8" w:space="0" w:color="1F4E79"/>
              <w:right w:val="single" w:sz="8" w:space="0" w:color="1F4E79"/>
            </w:tcBorders>
            <w:vAlign w:val="center"/>
          </w:tcPr>
          <w:p w:rsidR="00087C25" w:rsidRDefault="00656190">
            <w:r>
              <w:rPr>
                <w:sz w:val="18"/>
              </w:rPr>
              <w:t>Completed privileged access training.</w:t>
            </w:r>
          </w:p>
        </w:tc>
      </w:tr>
    </w:tbl>
    <w:p w:rsidR="00087C25" w:rsidRDefault="00087C25">
      <w:pPr>
        <w:spacing w:after="80" w:line="259" w:lineRule="auto"/>
      </w:pPr>
    </w:p>
    <w:p w:rsidR="00087C25" w:rsidRDefault="00656190">
      <w:pPr>
        <w:pStyle w:val="Heading1"/>
        <w:spacing w:before="240" w:after="120"/>
      </w:pPr>
      <w:r>
        <w:rPr>
          <w:rFonts w:ascii="Arial" w:eastAsia="Arial" w:hAnsi="Arial"/>
        </w:rPr>
        <w:t>REFERENCES</w:t>
      </w:r>
    </w:p>
    <w:p w:rsidR="00087C25" w:rsidRDefault="00656190">
      <w:pPr>
        <w:spacing w:after="120" w:line="259" w:lineRule="auto"/>
      </w:pPr>
      <w:r>
        <w:t>The following references should be used by consultants and implementation teams when aligning the Information Security Policy with recognized standards and audit expectations:</w:t>
      </w:r>
    </w:p>
    <w:p w:rsidR="00087C25" w:rsidRDefault="00656190">
      <w:pPr>
        <w:pStyle w:val="ListBullet"/>
        <w:spacing w:after="60" w:line="259" w:lineRule="auto"/>
      </w:pPr>
      <w:r>
        <w:t>International Organization for Standardization. ISO/IEC 27001:2022 - Information security, cybersecurity and privacy protection - Information security management systems - Requirements. https://www.iso.org/standard/27001</w:t>
      </w:r>
    </w:p>
    <w:p w:rsidR="00087C25" w:rsidRDefault="00656190">
      <w:pPr>
        <w:pStyle w:val="ListBullet"/>
        <w:spacing w:after="60" w:line="259" w:lineRule="auto"/>
      </w:pPr>
      <w:r>
        <w:t>International Organization for Stan</w:t>
      </w:r>
      <w:r>
        <w:t>dardization. ISO/IEC 27002:2022 - Information security, cybersecurity and privacy protection - Information security controls. https://www.iso.org/standard/75652.html</w:t>
      </w:r>
    </w:p>
    <w:p w:rsidR="00087C25" w:rsidRDefault="00656190">
      <w:pPr>
        <w:pStyle w:val="ListBullet"/>
        <w:spacing w:after="60" w:line="259" w:lineRule="auto"/>
      </w:pPr>
      <w:r>
        <w:t>International Organization for Standardization. ISO/IEC 27000 family of information securi</w:t>
      </w:r>
      <w:r>
        <w:t>ty management standards. https://www.iso.org/isoiec-27001-information-security.html</w:t>
      </w:r>
    </w:p>
    <w:p w:rsidR="00087C25" w:rsidRDefault="00656190">
      <w:pPr>
        <w:pStyle w:val="ListBullet"/>
        <w:spacing w:after="60" w:line="259" w:lineRule="auto"/>
      </w:pPr>
      <w:r>
        <w:t>International Organization for Standardization. ISO standards overview. https://www.iso.org/standards.html</w:t>
      </w:r>
    </w:p>
    <w:p w:rsidR="00087C25" w:rsidRDefault="00656190">
      <w:pPr>
        <w:pStyle w:val="ListBullet"/>
        <w:spacing w:after="60" w:line="259" w:lineRule="auto"/>
      </w:pPr>
      <w:r>
        <w:t>National Institute of Standards and Technology. Cybersecurity Fra</w:t>
      </w:r>
      <w:r>
        <w:t>mework and supporting cybersecurity guidance. https://www.nist.gov/cyberframework</w:t>
      </w:r>
    </w:p>
    <w:p w:rsidR="00087C25" w:rsidRDefault="00656190">
      <w:pPr>
        <w:keepLines/>
        <w:spacing w:before="60" w:after="160"/>
      </w:pPr>
      <w:r>
        <w:rPr>
          <w:b/>
          <w:i/>
          <w:color w:val="C00000"/>
        </w:rPr>
        <w:t xml:space="preserve">[Note] </w:t>
      </w:r>
      <w:r>
        <w:rPr>
          <w:i/>
          <w:color w:val="C00000"/>
        </w:rPr>
        <w:t>Use official standards purchased or licensed by the organization for implementation detail. Public web pages should be treated as orientation references, not substitut</w:t>
      </w:r>
      <w:r>
        <w:rPr>
          <w:i/>
          <w:color w:val="C00000"/>
        </w:rPr>
        <w:t>es for controlled copies of standards.</w:t>
      </w:r>
    </w:p>
    <w:sectPr w:rsidR="00087C25" w:rsidSect="00034616">
      <w:headerReference w:type="default" r:id="rId8"/>
      <w:footerReference w:type="default" r:id="rId9"/>
      <w:pgSz w:w="12240" w:h="15840"/>
      <w:pgMar w:top="1080" w:right="1080" w:bottom="1080" w:left="108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190" w:rsidRDefault="00656190" w:rsidP="00087C25">
      <w:pPr>
        <w:spacing w:after="0" w:line="240" w:lineRule="auto"/>
      </w:pPr>
      <w:r>
        <w:separator/>
      </w:r>
    </w:p>
  </w:endnote>
  <w:endnote w:type="continuationSeparator" w:id="1">
    <w:p w:rsidR="00656190" w:rsidRDefault="00656190" w:rsidP="00087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C25" w:rsidRDefault="00656190">
    <w:pPr>
      <w:pStyle w:val="Footer"/>
      <w:spacing w:line="259" w:lineRule="auto"/>
      <w:jc w:val="center"/>
    </w:pPr>
    <w:r>
      <w:rPr>
        <w:b/>
        <w:sz w:val="20"/>
      </w:rPr>
      <w:t>TÀI LI</w:t>
    </w:r>
    <w:r>
      <w:rPr>
        <w:b/>
        <w:sz w:val="20"/>
      </w:rPr>
      <w:t>Ệ</w:t>
    </w:r>
    <w:r>
      <w:rPr>
        <w:b/>
        <w:sz w:val="20"/>
      </w:rPr>
      <w:t>U C</w:t>
    </w:r>
    <w:r>
      <w:rPr>
        <w:b/>
        <w:sz w:val="20"/>
      </w:rPr>
      <w:t>Ủ</w:t>
    </w:r>
    <w:r>
      <w:rPr>
        <w:b/>
        <w:sz w:val="20"/>
      </w:rPr>
      <w:t>A STANDARD-TOOLKITS</w:t>
    </w:r>
    <w:r>
      <w:br/>
    </w:r>
    <w:r>
      <w:rPr>
        <w:sz w:val="20"/>
      </w:rPr>
      <w:t xml:space="preserve">Website: www.standard-toolkits.org | Email: </w:t>
    </w:r>
    <w:r>
      <w:rPr>
        <w:sz w:val="20"/>
      </w:rPr>
      <w:t>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190" w:rsidRDefault="00656190" w:rsidP="00087C25">
      <w:pPr>
        <w:spacing w:after="0" w:line="240" w:lineRule="auto"/>
      </w:pPr>
      <w:r>
        <w:separator/>
      </w:r>
    </w:p>
  </w:footnote>
  <w:footnote w:type="continuationSeparator" w:id="1">
    <w:p w:rsidR="00656190" w:rsidRDefault="00656190" w:rsidP="00087C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C25" w:rsidRDefault="00656190">
    <w:pPr>
      <w:pStyle w:val="Header"/>
      <w:spacing w:line="259" w:lineRule="auto"/>
      <w:jc w:val="center"/>
    </w:pPr>
    <w:r>
      <w:rPr>
        <w:b/>
        <w:sz w:val="20"/>
      </w:rPr>
      <w:t>STANDARD-TOOLKITS</w:t>
    </w:r>
    <w:r>
      <w:br/>
    </w:r>
    <w:r>
      <w:rPr>
        <w:sz w:val="20"/>
      </w:rPr>
      <w:t>Information Security Policy.docx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87C25"/>
    <w:rsid w:val="0015074B"/>
    <w:rsid w:val="0029639D"/>
    <w:rsid w:val="00326F90"/>
    <w:rsid w:val="004D5560"/>
    <w:rsid w:val="00656190"/>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6F71-F2DE-4960-A4B9-24F86B7D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6295</Words>
  <Characters>35887</Characters>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2013-12-23T23:15:00Z</dcterms:created>
  <dcterms:modified xsi:type="dcterms:W3CDTF">2026-04-29T04:50:00Z</dcterms:modified>
  <cp:category/>
</cp:coreProperties>
</file>